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9AF" w:rsidRDefault="00CC4571">
      <w:pPr>
        <w:jc w:val="both"/>
      </w:pPr>
      <w:bookmarkStart w:id="0" w:name="_GoBack"/>
      <w:bookmarkEnd w:id="0"/>
      <w:r>
        <w:tab/>
      </w:r>
      <w:r>
        <w:tab/>
      </w:r>
      <w:r>
        <w:tab/>
      </w:r>
      <w:r>
        <w:tab/>
      </w:r>
      <w:r>
        <w:tab/>
      </w:r>
      <w:r>
        <w:tab/>
      </w:r>
      <w:r>
        <w:tab/>
      </w:r>
      <w:r>
        <w:tab/>
      </w:r>
      <w:r>
        <w:tab/>
      </w:r>
      <w:r>
        <w:tab/>
      </w:r>
      <w:r>
        <w:tab/>
      </w:r>
    </w:p>
    <w:p w:rsidR="001479AF" w:rsidRDefault="001479AF">
      <w:pPr>
        <w:pStyle w:val="ListParagraph"/>
        <w:jc w:val="both"/>
      </w:pPr>
    </w:p>
    <w:p w:rsidR="001479AF" w:rsidRDefault="00736659">
      <w:pPr>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LISA 1</w:t>
      </w:r>
    </w:p>
    <w:p w:rsidR="001479AF" w:rsidRDefault="00CC4571">
      <w:pPr>
        <w:jc w:val="center"/>
        <w:rPr>
          <w:rFonts w:ascii="Times New Roman" w:hAnsi="Times New Roman"/>
          <w:b/>
          <w:sz w:val="24"/>
          <w:szCs w:val="24"/>
        </w:rPr>
      </w:pPr>
      <w:r>
        <w:rPr>
          <w:rFonts w:ascii="Times New Roman" w:hAnsi="Times New Roman"/>
          <w:b/>
          <w:sz w:val="24"/>
          <w:szCs w:val="24"/>
        </w:rPr>
        <w:t>PÕLTSAMAA LINNA EELARVESTRATEEGIA</w:t>
      </w:r>
    </w:p>
    <w:p w:rsidR="001479AF" w:rsidRDefault="00CC4571">
      <w:pPr>
        <w:jc w:val="center"/>
        <w:rPr>
          <w:rFonts w:ascii="Times New Roman" w:hAnsi="Times New Roman"/>
          <w:b/>
          <w:sz w:val="24"/>
          <w:szCs w:val="24"/>
        </w:rPr>
      </w:pPr>
      <w:r>
        <w:rPr>
          <w:rFonts w:ascii="Times New Roman" w:hAnsi="Times New Roman"/>
          <w:b/>
          <w:sz w:val="24"/>
          <w:szCs w:val="24"/>
        </w:rPr>
        <w:t>2016-20</w:t>
      </w:r>
      <w:r w:rsidR="00467844">
        <w:rPr>
          <w:rFonts w:ascii="Times New Roman" w:hAnsi="Times New Roman"/>
          <w:b/>
          <w:sz w:val="24"/>
          <w:szCs w:val="24"/>
        </w:rPr>
        <w:t>21</w:t>
      </w:r>
    </w:p>
    <w:p w:rsidR="001479AF" w:rsidRDefault="00CC4571">
      <w:pPr>
        <w:rPr>
          <w:rFonts w:ascii="Times New Roman" w:hAnsi="Times New Roman"/>
          <w:sz w:val="24"/>
          <w:szCs w:val="24"/>
        </w:rPr>
      </w:pPr>
      <w:r>
        <w:rPr>
          <w:rFonts w:ascii="Times New Roman" w:hAnsi="Times New Roman"/>
          <w:sz w:val="24"/>
          <w:szCs w:val="24"/>
        </w:rPr>
        <w:t>SISSEJUHATUS</w:t>
      </w:r>
    </w:p>
    <w:p w:rsidR="001479AF" w:rsidRDefault="00CC4571">
      <w:pPr>
        <w:jc w:val="both"/>
      </w:pPr>
      <w:r>
        <w:rPr>
          <w:rFonts w:ascii="Times New Roman" w:hAnsi="Times New Roman"/>
          <w:sz w:val="24"/>
          <w:szCs w:val="24"/>
        </w:rPr>
        <w:t>Põltsamaa linna eelarvestrateegia on koostatud vastavalt kohaliku omavalitsuse üksuse finantsjuhtimise seaduse (edaspidi KOFS) § 20 sätestatule. Eelarvestrateegia koostamine on kohalikele omavalitsustele (edaspidi KOV) kohustuslik alates 2012. aastast. Eelarvestrateegiaga peab Rahandusministeerium (edaspidi RM) vajalikuks tõsta KOV finantsplaneerimise taset ja viia see pikemale perioodile. Kui KOV-d planeerisid seni oma finantsmajanduse peamist instrumenti – eelarvet üheks aastaks, siis nüüd on kohustus teha seda läbi eelarvestrateegia minimaalselt neljaks aastaks (KOKS § 37</w:t>
      </w:r>
      <w:r>
        <w:rPr>
          <w:rFonts w:ascii="Times New Roman" w:hAnsi="Times New Roman"/>
          <w:sz w:val="24"/>
          <w:szCs w:val="24"/>
          <w:vertAlign w:val="superscript"/>
        </w:rPr>
        <w:t xml:space="preserve">2 </w:t>
      </w:r>
      <w:r>
        <w:rPr>
          <w:rFonts w:ascii="Times New Roman" w:hAnsi="Times New Roman"/>
          <w:sz w:val="24"/>
          <w:szCs w:val="24"/>
        </w:rPr>
        <w:t>lõige 3).</w:t>
      </w:r>
    </w:p>
    <w:p w:rsidR="001479AF" w:rsidRDefault="00CC4571">
      <w:pPr>
        <w:jc w:val="both"/>
        <w:rPr>
          <w:rFonts w:ascii="Times New Roman" w:hAnsi="Times New Roman"/>
          <w:sz w:val="24"/>
          <w:szCs w:val="24"/>
        </w:rPr>
      </w:pPr>
      <w:r>
        <w:rPr>
          <w:rFonts w:ascii="Times New Roman" w:hAnsi="Times New Roman"/>
          <w:sz w:val="24"/>
          <w:szCs w:val="24"/>
        </w:rPr>
        <w:t>Põltsamaa linnal on kehtivas eelarvestrateegias kavan</w:t>
      </w:r>
      <w:r w:rsidR="00467844">
        <w:rPr>
          <w:rFonts w:ascii="Times New Roman" w:hAnsi="Times New Roman"/>
          <w:sz w:val="24"/>
          <w:szCs w:val="24"/>
        </w:rPr>
        <w:t>datude eelarveaastad 2016</w:t>
      </w:r>
      <w:r w:rsidR="00C66268">
        <w:rPr>
          <w:rFonts w:ascii="Times New Roman" w:hAnsi="Times New Roman"/>
          <w:sz w:val="24"/>
          <w:szCs w:val="24"/>
        </w:rPr>
        <w:t xml:space="preserve"> - 2</w:t>
      </w:r>
      <w:r w:rsidR="00467844">
        <w:rPr>
          <w:rFonts w:ascii="Times New Roman" w:hAnsi="Times New Roman"/>
          <w:sz w:val="24"/>
          <w:szCs w:val="24"/>
        </w:rPr>
        <w:t>020</w:t>
      </w:r>
      <w:r>
        <w:rPr>
          <w:rFonts w:ascii="Times New Roman" w:hAnsi="Times New Roman"/>
          <w:sz w:val="24"/>
          <w:szCs w:val="24"/>
        </w:rPr>
        <w:t>. Eelarvestrateegia on aluseks linna järgmiste eelarvete koostamiseks. Samuti arvestatakse eelarvestrateegiat rahastustaotluste hindamisel ja laenude võtmisel.</w:t>
      </w:r>
    </w:p>
    <w:p w:rsidR="0091241C" w:rsidRDefault="00CC4571">
      <w:pPr>
        <w:jc w:val="both"/>
        <w:rPr>
          <w:rFonts w:ascii="Times New Roman" w:hAnsi="Times New Roman"/>
          <w:sz w:val="24"/>
          <w:szCs w:val="24"/>
        </w:rPr>
      </w:pPr>
      <w:r>
        <w:rPr>
          <w:rFonts w:ascii="Times New Roman" w:hAnsi="Times New Roman"/>
          <w:sz w:val="24"/>
          <w:szCs w:val="24"/>
        </w:rPr>
        <w:t>Arengukava, eelarvestrateegia ja iga-aastane linnaeelarve peavad olema seoses ja üksteist toetama.  Linna arengukava ja eelarvestrateegia  on eraldi</w:t>
      </w:r>
      <w:r w:rsidR="0091241C">
        <w:rPr>
          <w:rFonts w:ascii="Times New Roman" w:hAnsi="Times New Roman"/>
          <w:sz w:val="24"/>
          <w:szCs w:val="24"/>
        </w:rPr>
        <w:t>seisvad dokumendid.</w:t>
      </w:r>
      <w:r>
        <w:rPr>
          <w:rFonts w:ascii="Times New Roman" w:hAnsi="Times New Roman"/>
          <w:sz w:val="24"/>
          <w:szCs w:val="24"/>
        </w:rPr>
        <w:t xml:space="preserve"> </w:t>
      </w:r>
    </w:p>
    <w:p w:rsidR="001479AF" w:rsidRDefault="00CC4571">
      <w:pPr>
        <w:jc w:val="both"/>
        <w:rPr>
          <w:rFonts w:ascii="Times New Roman" w:hAnsi="Times New Roman"/>
          <w:sz w:val="24"/>
          <w:szCs w:val="24"/>
        </w:rPr>
      </w:pPr>
      <w:r>
        <w:rPr>
          <w:rFonts w:ascii="Times New Roman" w:hAnsi="Times New Roman"/>
          <w:sz w:val="24"/>
          <w:szCs w:val="24"/>
        </w:rPr>
        <w:t>Peamised eesmärgid eelarvestrateegia koostamisel on:</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Põhitegevuse kulude mahu kasv peab olema väiksem, kui põhitegevuse tulude mahu kasv;</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Põhitegevuse kulude kasv peab pidurduma;</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Põhitegevuse tulem (põhitegevuse tulu – põhitegevuse kulu) peab kasvama;</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Linna eelarve osakaal investeeringuteks peab kasvama;</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Linna finantsvõimekus peab kasvama, tagamaks arengukavas seatud eesmärkide saavutamist;</w:t>
      </w:r>
    </w:p>
    <w:p w:rsidR="001479AF" w:rsidRDefault="00CC4571">
      <w:pPr>
        <w:pStyle w:val="ListParagraph"/>
        <w:numPr>
          <w:ilvl w:val="0"/>
          <w:numId w:val="1"/>
        </w:numPr>
        <w:jc w:val="both"/>
        <w:rPr>
          <w:rFonts w:ascii="Times New Roman" w:hAnsi="Times New Roman"/>
          <w:sz w:val="24"/>
          <w:szCs w:val="24"/>
        </w:rPr>
      </w:pPr>
      <w:r>
        <w:rPr>
          <w:rFonts w:ascii="Times New Roman" w:hAnsi="Times New Roman"/>
          <w:sz w:val="24"/>
          <w:szCs w:val="24"/>
        </w:rPr>
        <w:t>Finantsdistsipliini tagamise meetmetest tuleb kinni pidada.</w:t>
      </w:r>
    </w:p>
    <w:p w:rsidR="001479AF" w:rsidRDefault="00CC4571">
      <w:pPr>
        <w:jc w:val="both"/>
        <w:rPr>
          <w:rFonts w:ascii="Times New Roman" w:hAnsi="Times New Roman"/>
          <w:sz w:val="24"/>
          <w:szCs w:val="24"/>
        </w:rPr>
      </w:pPr>
      <w:r>
        <w:rPr>
          <w:rFonts w:ascii="Times New Roman" w:hAnsi="Times New Roman"/>
          <w:sz w:val="24"/>
          <w:szCs w:val="24"/>
        </w:rPr>
        <w:t>Nendest eesmärkidest lähtuvalt on lähenetud eelarvestrateegia osadele, samuti on need aluseks võetud valdkondade ja tegevusalade eelarvete planeerimisel.</w:t>
      </w:r>
    </w:p>
    <w:p w:rsidR="001479AF" w:rsidRDefault="00CC4571">
      <w:pPr>
        <w:jc w:val="both"/>
        <w:rPr>
          <w:rFonts w:ascii="Times New Roman" w:hAnsi="Times New Roman"/>
          <w:sz w:val="24"/>
          <w:szCs w:val="24"/>
        </w:rPr>
      </w:pPr>
      <w:r>
        <w:rPr>
          <w:rFonts w:ascii="Times New Roman" w:hAnsi="Times New Roman"/>
          <w:sz w:val="24"/>
          <w:szCs w:val="24"/>
        </w:rPr>
        <w:t>Linna eelarvestrateegia esitatakse RM-le 30. oktoobriks (KOFS § 30 lõige 3).</w:t>
      </w:r>
    </w:p>
    <w:p w:rsidR="00CC4571" w:rsidRDefault="00CC4571">
      <w:pPr>
        <w:jc w:val="both"/>
        <w:rPr>
          <w:rFonts w:ascii="Times New Roman" w:hAnsi="Times New Roman"/>
          <w:sz w:val="24"/>
          <w:szCs w:val="24"/>
        </w:rPr>
      </w:pPr>
      <w:r>
        <w:rPr>
          <w:rFonts w:ascii="Times New Roman" w:hAnsi="Times New Roman"/>
          <w:sz w:val="24"/>
          <w:szCs w:val="24"/>
        </w:rPr>
        <w:lastRenderedPageBreak/>
        <w:t>Kuna 2016. aasta lõpuks</w:t>
      </w:r>
      <w:r w:rsidR="00370FE9">
        <w:rPr>
          <w:rFonts w:ascii="Times New Roman" w:hAnsi="Times New Roman"/>
          <w:sz w:val="24"/>
          <w:szCs w:val="24"/>
        </w:rPr>
        <w:t xml:space="preserve"> oli vastu võetud otsus Põltsamaa linna</w:t>
      </w:r>
      <w:r w:rsidR="0091241C">
        <w:rPr>
          <w:rFonts w:ascii="Times New Roman" w:hAnsi="Times New Roman"/>
          <w:sz w:val="24"/>
          <w:szCs w:val="24"/>
        </w:rPr>
        <w:t>,</w:t>
      </w:r>
      <w:r w:rsidR="00370FE9">
        <w:rPr>
          <w:rFonts w:ascii="Times New Roman" w:hAnsi="Times New Roman"/>
          <w:sz w:val="24"/>
          <w:szCs w:val="24"/>
        </w:rPr>
        <w:t xml:space="preserve"> Põltsamaa, Pajusi ja Puurmani valdade ühinemise kohta, </w:t>
      </w:r>
      <w:r w:rsidR="0091241C">
        <w:rPr>
          <w:rFonts w:ascii="Times New Roman" w:hAnsi="Times New Roman"/>
          <w:sz w:val="24"/>
          <w:szCs w:val="24"/>
        </w:rPr>
        <w:t xml:space="preserve"> </w:t>
      </w:r>
      <w:r w:rsidR="00370FE9">
        <w:rPr>
          <w:rFonts w:ascii="Times New Roman" w:hAnsi="Times New Roman"/>
          <w:sz w:val="24"/>
          <w:szCs w:val="24"/>
        </w:rPr>
        <w:t>siis on investeeringute puhul arvestatud ühinemislepingus kokkulepitut ja EL meetmetest saadud rahastusotsustusi.</w:t>
      </w:r>
    </w:p>
    <w:p w:rsidR="001479AF" w:rsidRDefault="001479AF">
      <w:pPr>
        <w:jc w:val="both"/>
        <w:rPr>
          <w:rFonts w:ascii="Times New Roman" w:hAnsi="Times New Roman"/>
          <w:sz w:val="24"/>
          <w:szCs w:val="24"/>
        </w:rPr>
      </w:pPr>
    </w:p>
    <w:p w:rsidR="001479AF" w:rsidRDefault="00CC4571">
      <w:pPr>
        <w:jc w:val="both"/>
        <w:rPr>
          <w:rFonts w:ascii="Times New Roman" w:hAnsi="Times New Roman"/>
          <w:sz w:val="24"/>
          <w:szCs w:val="24"/>
        </w:rPr>
      </w:pPr>
      <w:r>
        <w:rPr>
          <w:rFonts w:ascii="Times New Roman" w:hAnsi="Times New Roman"/>
          <w:sz w:val="24"/>
          <w:szCs w:val="24"/>
        </w:rPr>
        <w:t>1. KOHALIKU OMAVALITSUSE ÜKSUSE MAJANDUSLIKU OLUKORRA ANALÜÜS JA PROGNOOS EELARVESTRATEEGIA PEROODIKS</w:t>
      </w:r>
    </w:p>
    <w:p w:rsidR="001479AF" w:rsidRDefault="00C66268">
      <w:pPr>
        <w:jc w:val="both"/>
      </w:pPr>
      <w:r>
        <w:rPr>
          <w:rFonts w:ascii="Times New Roman" w:hAnsi="Times New Roman"/>
          <w:sz w:val="24"/>
          <w:szCs w:val="24"/>
        </w:rPr>
        <w:t xml:space="preserve">Põltsamaa linnas </w:t>
      </w:r>
      <w:r w:rsidR="00D802EE">
        <w:rPr>
          <w:rFonts w:ascii="Times New Roman" w:hAnsi="Times New Roman"/>
          <w:sz w:val="24"/>
          <w:szCs w:val="24"/>
        </w:rPr>
        <w:t xml:space="preserve">oli </w:t>
      </w:r>
      <w:r>
        <w:rPr>
          <w:rFonts w:ascii="Times New Roman" w:hAnsi="Times New Roman"/>
          <w:sz w:val="24"/>
          <w:szCs w:val="24"/>
        </w:rPr>
        <w:t>01.01. 2016</w:t>
      </w:r>
      <w:r w:rsidR="00CC4571">
        <w:rPr>
          <w:rFonts w:ascii="Times New Roman" w:hAnsi="Times New Roman"/>
          <w:sz w:val="24"/>
          <w:szCs w:val="24"/>
        </w:rPr>
        <w:t>. seisuga 42</w:t>
      </w:r>
      <w:r w:rsidR="00E61363">
        <w:rPr>
          <w:rFonts w:ascii="Times New Roman" w:hAnsi="Times New Roman"/>
          <w:sz w:val="24"/>
          <w:szCs w:val="24"/>
        </w:rPr>
        <w:t>44</w:t>
      </w:r>
      <w:r w:rsidR="00CC4571">
        <w:rPr>
          <w:rFonts w:ascii="Times New Roman" w:hAnsi="Times New Roman"/>
          <w:color w:val="FF0000"/>
          <w:sz w:val="24"/>
          <w:szCs w:val="24"/>
        </w:rPr>
        <w:t xml:space="preserve"> </w:t>
      </w:r>
      <w:r w:rsidR="00F75925">
        <w:rPr>
          <w:rFonts w:ascii="Times New Roman" w:hAnsi="Times New Roman"/>
          <w:sz w:val="24"/>
          <w:szCs w:val="24"/>
        </w:rPr>
        <w:t>elanikku ja</w:t>
      </w:r>
      <w:r w:rsidR="00D802EE">
        <w:rPr>
          <w:rFonts w:ascii="Times New Roman" w:hAnsi="Times New Roman"/>
          <w:sz w:val="24"/>
          <w:szCs w:val="24"/>
        </w:rPr>
        <w:t xml:space="preserve"> 01.01. 2017</w:t>
      </w:r>
      <w:r w:rsidR="00CC4571">
        <w:rPr>
          <w:rFonts w:ascii="Times New Roman" w:hAnsi="Times New Roman"/>
          <w:sz w:val="24"/>
          <w:szCs w:val="24"/>
        </w:rPr>
        <w:t xml:space="preserve"> </w:t>
      </w:r>
      <w:r w:rsidR="00D802EE">
        <w:rPr>
          <w:rFonts w:ascii="Times New Roman" w:hAnsi="Times New Roman"/>
          <w:sz w:val="24"/>
          <w:szCs w:val="24"/>
        </w:rPr>
        <w:t xml:space="preserve">seisuga 4163 elanikku. </w:t>
      </w:r>
      <w:r w:rsidR="00CC4571">
        <w:rPr>
          <w:rFonts w:ascii="Times New Roman" w:hAnsi="Times New Roman"/>
          <w:sz w:val="24"/>
          <w:szCs w:val="24"/>
        </w:rPr>
        <w:t>Majanduse langus, mis algas 2008. aastal ei jätnud puutumata ka Põltsamaa linna. Tulude kasv kuni 2008. aastani, mille tulemusena tekkisid ülejäägid eelarves, kahanesid 2009. aastast. Langus saabus eelkõige tööhõive näitajates, maksude ja riigipoolsete eraldiste laekumises.</w:t>
      </w:r>
    </w:p>
    <w:p w:rsidR="001479AF" w:rsidRPr="00D802EE" w:rsidRDefault="00CC4571">
      <w:pPr>
        <w:jc w:val="both"/>
        <w:rPr>
          <w:sz w:val="24"/>
          <w:szCs w:val="24"/>
        </w:rPr>
      </w:pPr>
      <w:r>
        <w:rPr>
          <w:rFonts w:ascii="Times New Roman" w:hAnsi="Times New Roman"/>
          <w:sz w:val="24"/>
          <w:szCs w:val="24"/>
        </w:rPr>
        <w:t xml:space="preserve">Alates 2012. aastast võib täheldada kriisist väljatuleku märke, kuid majanduse suurest kasvust siiski rääkida ei saa. Selles olukorras, kus elanike ning maksumaksjate arv väheneb (mitte ainult Põltsamaa linnas ja Jõgeva maakonnas vaid terves riigis) </w:t>
      </w:r>
      <w:r w:rsidRPr="00D802EE">
        <w:rPr>
          <w:rFonts w:ascii="Times New Roman" w:hAnsi="Times New Roman"/>
          <w:sz w:val="24"/>
          <w:szCs w:val="24"/>
        </w:rPr>
        <w:t>peab hakkama tegema hulgaliselt kärpeid igapäevases majandustegevuses.</w:t>
      </w:r>
    </w:p>
    <w:p w:rsidR="001479AF" w:rsidRDefault="00CC4571">
      <w:pPr>
        <w:jc w:val="both"/>
        <w:rPr>
          <w:rFonts w:ascii="Times New Roman" w:hAnsi="Times New Roman"/>
          <w:sz w:val="24"/>
          <w:szCs w:val="24"/>
        </w:rPr>
      </w:pPr>
      <w:r>
        <w:rPr>
          <w:rFonts w:ascii="Times New Roman" w:hAnsi="Times New Roman"/>
          <w:sz w:val="24"/>
          <w:szCs w:val="24"/>
        </w:rPr>
        <w:t>Elanike arv Põltsamaa linnas näitab vähenemist aastas keskmiselt 1-2% (vähenemise trend kõigis KOV-des va Tallinn ja selle lähedased KOV-d), selle põhjuseks on nii sündide vähenemine kui elanike liikumine peamiselt Tallinna piirkonda ja riigist välja. Eelkõige liigutakse kõrgemalt tasustatud töökohtade poole, erandiks oli 2013. aasta, mil mõjutas elanike arvu vähenemist lisaks Tallinna tasuta ühistransport.</w:t>
      </w:r>
    </w:p>
    <w:p w:rsidR="001479AF" w:rsidRDefault="00CC4571">
      <w:pPr>
        <w:jc w:val="both"/>
        <w:rPr>
          <w:rFonts w:ascii="Times New Roman" w:hAnsi="Times New Roman"/>
          <w:sz w:val="24"/>
          <w:szCs w:val="24"/>
        </w:rPr>
      </w:pPr>
      <w:r>
        <w:rPr>
          <w:rFonts w:ascii="Times New Roman" w:hAnsi="Times New Roman"/>
          <w:sz w:val="24"/>
          <w:szCs w:val="24"/>
        </w:rPr>
        <w:t>Sotsiaalmajanduslikes näitajates,  mis on seotud elanike arvuga ja sealt tulude laekumisega on näha teatud stabiliseerumist. Elanike arvu vähenemine mõjutab ka maksumaksjate arvu vähenemise suunas. Vaadeldes aga maksumaksjate arvu liikumist samal perioodil võib aga täheldada väiksemat vähenemise tempot, kui kogu rahvaarvu vähenemisel (rahvaarv vähenes 2012. – 2015. aastatel  299  inimest, kuid maksumaksjaid vaid 36 inimest).</w:t>
      </w:r>
      <w:r w:rsidR="00554FAF">
        <w:rPr>
          <w:rFonts w:ascii="Times New Roman" w:hAnsi="Times New Roman"/>
          <w:sz w:val="24"/>
          <w:szCs w:val="24"/>
        </w:rPr>
        <w:t xml:space="preserve"> Stabiliseerunud on ka töötute arv, mis viimastel aastatel on keskmiselt 70 inimest.</w:t>
      </w:r>
    </w:p>
    <w:p w:rsidR="001479AF" w:rsidRDefault="00CC4571">
      <w:pPr>
        <w:jc w:val="both"/>
        <w:rPr>
          <w:rFonts w:ascii="Times New Roman" w:hAnsi="Times New Roman"/>
          <w:b/>
          <w:sz w:val="24"/>
          <w:szCs w:val="24"/>
        </w:rPr>
      </w:pPr>
      <w:r>
        <w:rPr>
          <w:rFonts w:ascii="Times New Roman" w:hAnsi="Times New Roman"/>
          <w:b/>
          <w:sz w:val="24"/>
          <w:szCs w:val="24"/>
        </w:rPr>
        <w:t>Peamised suunad lähiaastatel</w:t>
      </w:r>
    </w:p>
    <w:p w:rsidR="001479AF" w:rsidRDefault="00CC4571">
      <w:pPr>
        <w:pStyle w:val="ListParagraph"/>
        <w:numPr>
          <w:ilvl w:val="0"/>
          <w:numId w:val="2"/>
        </w:numPr>
        <w:jc w:val="both"/>
        <w:rPr>
          <w:rFonts w:ascii="Times New Roman" w:hAnsi="Times New Roman"/>
          <w:sz w:val="24"/>
          <w:szCs w:val="24"/>
        </w:rPr>
      </w:pPr>
      <w:r>
        <w:rPr>
          <w:rFonts w:ascii="Times New Roman" w:hAnsi="Times New Roman"/>
          <w:sz w:val="24"/>
          <w:szCs w:val="24"/>
        </w:rPr>
        <w:t>Linna käsutuses olevate hoonete haldamise optimeerimine.</w:t>
      </w:r>
    </w:p>
    <w:p w:rsidR="001479AF" w:rsidRDefault="00CC4571">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Elanike arvu vähenemine peab pidurduma ja saavutama stabiilsuse. Linna sotsiaalmajanduslikud näitajad on stabiliseerunud ning eeldatavasti majanduse edenemisega paranevad – tööhõive, tööturg, sissetulekud. Õpilaste arvud lasteaedades ja koolis on viimase </w:t>
      </w:r>
      <w:r w:rsidR="00E61363">
        <w:rPr>
          <w:rFonts w:ascii="Times New Roman" w:hAnsi="Times New Roman"/>
          <w:sz w:val="24"/>
          <w:szCs w:val="24"/>
        </w:rPr>
        <w:t>kolme aastaga isegi kasvanud ja saavutanud 2004/2005 õppeaasta taseme,</w:t>
      </w:r>
      <w:r>
        <w:rPr>
          <w:rFonts w:ascii="Times New Roman" w:hAnsi="Times New Roman"/>
          <w:sz w:val="24"/>
          <w:szCs w:val="24"/>
        </w:rPr>
        <w:t xml:space="preserve"> kuid aastast 2020 on oodata õpilaste arvu vähenemist.</w:t>
      </w:r>
    </w:p>
    <w:p w:rsidR="001479AF" w:rsidRDefault="00CC4571">
      <w:pPr>
        <w:pStyle w:val="ListParagraph"/>
        <w:numPr>
          <w:ilvl w:val="0"/>
          <w:numId w:val="2"/>
        </w:numPr>
        <w:jc w:val="both"/>
      </w:pPr>
      <w:r>
        <w:rPr>
          <w:rFonts w:ascii="Times New Roman" w:hAnsi="Times New Roman"/>
          <w:sz w:val="24"/>
          <w:szCs w:val="24"/>
        </w:rPr>
        <w:t xml:space="preserve">Lähiaastatel ootavad suured investeeringud </w:t>
      </w:r>
      <w:r w:rsidR="00987C01">
        <w:rPr>
          <w:rFonts w:ascii="Times New Roman" w:hAnsi="Times New Roman"/>
          <w:sz w:val="24"/>
          <w:szCs w:val="24"/>
        </w:rPr>
        <w:t xml:space="preserve">Suure </w:t>
      </w:r>
      <w:r>
        <w:rPr>
          <w:rFonts w:ascii="Times New Roman" w:hAnsi="Times New Roman"/>
          <w:sz w:val="24"/>
          <w:szCs w:val="24"/>
        </w:rPr>
        <w:t xml:space="preserve">silla </w:t>
      </w:r>
      <w:r w:rsidR="00C73698">
        <w:rPr>
          <w:rFonts w:ascii="Times New Roman" w:hAnsi="Times New Roman"/>
          <w:sz w:val="24"/>
          <w:szCs w:val="24"/>
        </w:rPr>
        <w:t xml:space="preserve">ja tänavate </w:t>
      </w:r>
      <w:r w:rsidR="00987C01">
        <w:rPr>
          <w:rFonts w:ascii="Times New Roman" w:hAnsi="Times New Roman"/>
          <w:sz w:val="24"/>
          <w:szCs w:val="24"/>
        </w:rPr>
        <w:t>rekonstrueerimisel</w:t>
      </w:r>
      <w:r>
        <w:rPr>
          <w:rFonts w:ascii="Times New Roman" w:hAnsi="Times New Roman"/>
          <w:sz w:val="24"/>
          <w:szCs w:val="24"/>
        </w:rPr>
        <w:t xml:space="preserve">, esmatasandi tervisekeskuse kaasajastamisel, tänavate ja tänavavalgustuse rekonstrueerimisel, </w:t>
      </w:r>
      <w:r w:rsidR="00987C01">
        <w:rPr>
          <w:rFonts w:ascii="Times New Roman" w:hAnsi="Times New Roman"/>
          <w:sz w:val="24"/>
          <w:szCs w:val="24"/>
        </w:rPr>
        <w:t xml:space="preserve">Põltsamaa Lasteaed Tõruke energiatõhusamaks muutmisel, </w:t>
      </w:r>
      <w:r>
        <w:rPr>
          <w:rFonts w:ascii="Times New Roman" w:hAnsi="Times New Roman"/>
          <w:sz w:val="24"/>
          <w:szCs w:val="24"/>
        </w:rPr>
        <w:t>Lille tänava õppehoone ja õpilaskodu renoveerimisel</w:t>
      </w:r>
      <w:r w:rsidR="00C73698">
        <w:rPr>
          <w:rFonts w:ascii="Times New Roman" w:hAnsi="Times New Roman"/>
          <w:sz w:val="24"/>
          <w:szCs w:val="24"/>
        </w:rPr>
        <w:t>.</w:t>
      </w:r>
      <w:r>
        <w:rPr>
          <w:rFonts w:ascii="Times New Roman" w:hAnsi="Times New Roman"/>
          <w:sz w:val="24"/>
          <w:szCs w:val="24"/>
        </w:rPr>
        <w:t xml:space="preserve"> </w:t>
      </w:r>
    </w:p>
    <w:p w:rsidR="001479AF" w:rsidRPr="00965963" w:rsidRDefault="00CC4571" w:rsidP="00965963">
      <w:pPr>
        <w:pStyle w:val="ListParagraph"/>
        <w:numPr>
          <w:ilvl w:val="0"/>
          <w:numId w:val="2"/>
        </w:numPr>
        <w:jc w:val="both"/>
      </w:pPr>
      <w:r>
        <w:rPr>
          <w:rFonts w:ascii="Times New Roman" w:hAnsi="Times New Roman"/>
          <w:sz w:val="24"/>
          <w:szCs w:val="24"/>
        </w:rPr>
        <w:lastRenderedPageBreak/>
        <w:t>Linna arendamisel on vajalik vaba netovõlakoormuse maht maksimaalselt rakendada täiendavate rahaliste vahendite juurde toomisele linna investeeringuteks.</w:t>
      </w:r>
    </w:p>
    <w:p w:rsidR="00965963" w:rsidRDefault="00965963" w:rsidP="00965963">
      <w:pPr>
        <w:pStyle w:val="ListParagraph"/>
        <w:jc w:val="both"/>
      </w:pPr>
    </w:p>
    <w:p w:rsidR="001479AF" w:rsidRDefault="00CC4571">
      <w:pPr>
        <w:jc w:val="both"/>
        <w:rPr>
          <w:rFonts w:ascii="Times New Roman" w:hAnsi="Times New Roman"/>
          <w:sz w:val="24"/>
          <w:szCs w:val="24"/>
        </w:rPr>
      </w:pPr>
      <w:r>
        <w:rPr>
          <w:rFonts w:ascii="Times New Roman" w:hAnsi="Times New Roman"/>
          <w:sz w:val="24"/>
          <w:szCs w:val="24"/>
        </w:rPr>
        <w:t>2. EELARVESTRATEEGIA EELARVEOSAD</w:t>
      </w:r>
    </w:p>
    <w:p w:rsidR="001479AF" w:rsidRDefault="00CC4571">
      <w:pPr>
        <w:jc w:val="both"/>
        <w:rPr>
          <w:rFonts w:ascii="Times New Roman" w:hAnsi="Times New Roman"/>
          <w:sz w:val="24"/>
          <w:szCs w:val="24"/>
        </w:rPr>
      </w:pPr>
      <w:r>
        <w:rPr>
          <w:rFonts w:ascii="Times New Roman" w:hAnsi="Times New Roman"/>
          <w:sz w:val="24"/>
          <w:szCs w:val="24"/>
        </w:rPr>
        <w:t>2.1. Põhitegevuse tulud</w:t>
      </w:r>
    </w:p>
    <w:p w:rsidR="001479AF" w:rsidRDefault="00CC4571">
      <w:pPr>
        <w:jc w:val="both"/>
        <w:rPr>
          <w:rFonts w:ascii="Times New Roman" w:hAnsi="Times New Roman"/>
          <w:sz w:val="24"/>
          <w:szCs w:val="24"/>
        </w:rPr>
      </w:pPr>
      <w:r>
        <w:rPr>
          <w:rFonts w:ascii="Times New Roman" w:hAnsi="Times New Roman"/>
          <w:sz w:val="24"/>
          <w:szCs w:val="24"/>
        </w:rPr>
        <w:t>Põltsamaa linna tulubaasist  moodustab   füüsilise isiku tulumaks (FIT) ca 42%. Järgmine suurem tuluallikas eelarves on toetused, millest suurim on tasandusfond riigieelarvest. Tasandusfond omakorda jaguneb tasandus- ja toetusfondiks. Tasandusfond on ette nähtud tulude ja kulude ühtlustamiseks, et tagada väiksema tulukusega KOV-de üksustele vahendid neile pandud ülesannete täitmiseks. Toetusfondi vahendid on ette nähtud hariduskulude toetuseks, toimetulekutoetuse väljamaksmiseks, sotsiaaltoetuse- ja teenuse osutamise toetuseks, sündide ja surmade registreerimisega seotud kulude toetuseks ja alates 2015. aastast teede korrashoiuks. Toetusfondi vahendeid tuleb kasutada vastavalt seatud eesmärkidele. Toetusfondi jaotuse kehtestab iga-aastaselt Vabariigi Valitsus.</w:t>
      </w:r>
    </w:p>
    <w:p w:rsidR="001479AF" w:rsidRDefault="00CC4571">
      <w:pPr>
        <w:jc w:val="both"/>
        <w:rPr>
          <w:rFonts w:ascii="Times New Roman" w:hAnsi="Times New Roman"/>
          <w:sz w:val="24"/>
          <w:szCs w:val="24"/>
        </w:rPr>
      </w:pPr>
      <w:r>
        <w:rPr>
          <w:rFonts w:ascii="Times New Roman" w:hAnsi="Times New Roman"/>
          <w:sz w:val="24"/>
          <w:szCs w:val="24"/>
        </w:rPr>
        <w:t>Väiksema osatähtsusega on maamaks, tulu kaupade ja teenuste müügist (asutuste omatulud) ja muud tulud. Muude tulude all kajastatakse laekumisi vee erikasutusest ning kõiki eelpool nimetamata klassifitseerimata tulusid. Viimastel aastatel on muude kulude vähenemise trend.</w:t>
      </w:r>
      <w:r w:rsidR="00F75925">
        <w:rPr>
          <w:rFonts w:ascii="Times New Roman" w:hAnsi="Times New Roman"/>
          <w:sz w:val="24"/>
          <w:szCs w:val="24"/>
        </w:rPr>
        <w:t xml:space="preserve"> Alates 2017. aastast ei eraldata enam saastetasusid, vaid kompenseeritakse tulude vähenemine saastetasude laekumise arvelt toetusfondi kaudu.</w:t>
      </w:r>
    </w:p>
    <w:p w:rsidR="001479AF" w:rsidRDefault="00CC4571">
      <w:pPr>
        <w:jc w:val="both"/>
        <w:rPr>
          <w:rFonts w:ascii="Times New Roman" w:hAnsi="Times New Roman"/>
          <w:sz w:val="24"/>
          <w:szCs w:val="24"/>
        </w:rPr>
      </w:pPr>
      <w:r>
        <w:rPr>
          <w:rFonts w:ascii="Times New Roman" w:hAnsi="Times New Roman"/>
          <w:sz w:val="24"/>
          <w:szCs w:val="24"/>
        </w:rPr>
        <w:t xml:space="preserve">Viimaste aastate tulude laekumine näitab laekumiste stabiliseerumist ja tõusud on väga minimaalsed. FIT laekumine näitab küll paranemist, kuid 2008. aasta tasemele (2,220 miljonit eurot) jõuti alles 2014. aastaks (2,274 miljonit eurot). </w:t>
      </w:r>
    </w:p>
    <w:p w:rsidR="001479AF" w:rsidRDefault="00CC4571">
      <w:pPr>
        <w:jc w:val="both"/>
        <w:rPr>
          <w:rFonts w:ascii="Times New Roman" w:hAnsi="Times New Roman"/>
          <w:sz w:val="24"/>
          <w:szCs w:val="24"/>
        </w:rPr>
      </w:pPr>
      <w:r>
        <w:rPr>
          <w:rFonts w:ascii="Times New Roman" w:hAnsi="Times New Roman"/>
          <w:sz w:val="24"/>
          <w:szCs w:val="24"/>
        </w:rPr>
        <w:t>FIT prognoosi koostamisel on oldud konservatiivne ning lähtutud järgmistest olulistest mõjuritest:</w:t>
      </w:r>
    </w:p>
    <w:p w:rsidR="001479AF" w:rsidRDefault="00CC4571">
      <w:pPr>
        <w:pStyle w:val="ListParagraph"/>
        <w:numPr>
          <w:ilvl w:val="0"/>
          <w:numId w:val="3"/>
        </w:numPr>
        <w:jc w:val="both"/>
        <w:rPr>
          <w:rFonts w:ascii="Times New Roman" w:hAnsi="Times New Roman"/>
          <w:sz w:val="24"/>
          <w:szCs w:val="24"/>
        </w:rPr>
      </w:pPr>
      <w:r>
        <w:rPr>
          <w:rFonts w:ascii="Times New Roman" w:hAnsi="Times New Roman"/>
          <w:sz w:val="24"/>
          <w:szCs w:val="24"/>
        </w:rPr>
        <w:t>võimalik sissetuleku muutuse kasv järgmise 4 aasta jooksul;</w:t>
      </w:r>
    </w:p>
    <w:p w:rsidR="001479AF" w:rsidRDefault="00CC4571">
      <w:pPr>
        <w:pStyle w:val="ListParagraph"/>
        <w:numPr>
          <w:ilvl w:val="0"/>
          <w:numId w:val="3"/>
        </w:numPr>
        <w:jc w:val="both"/>
        <w:rPr>
          <w:rFonts w:ascii="Times New Roman" w:hAnsi="Times New Roman"/>
          <w:sz w:val="24"/>
          <w:szCs w:val="24"/>
        </w:rPr>
      </w:pPr>
      <w:r>
        <w:rPr>
          <w:rFonts w:ascii="Times New Roman" w:hAnsi="Times New Roman"/>
          <w:sz w:val="24"/>
          <w:szCs w:val="24"/>
        </w:rPr>
        <w:t>maksumaksjate arvu muutus järgmise 4 aasta jooksul;</w:t>
      </w:r>
    </w:p>
    <w:p w:rsidR="001479AF" w:rsidRDefault="00CC4571">
      <w:pPr>
        <w:pStyle w:val="ListParagraph"/>
        <w:numPr>
          <w:ilvl w:val="0"/>
          <w:numId w:val="3"/>
        </w:numPr>
        <w:jc w:val="both"/>
        <w:rPr>
          <w:rFonts w:ascii="Times New Roman" w:hAnsi="Times New Roman"/>
          <w:sz w:val="24"/>
          <w:szCs w:val="24"/>
        </w:rPr>
      </w:pPr>
      <w:r>
        <w:rPr>
          <w:rFonts w:ascii="Times New Roman" w:hAnsi="Times New Roman"/>
          <w:sz w:val="24"/>
          <w:szCs w:val="24"/>
        </w:rPr>
        <w:t>riigi eelarvepoliitika, mis puudutab KOV tulude baasi;</w:t>
      </w:r>
    </w:p>
    <w:p w:rsidR="001479AF" w:rsidRDefault="00CC4571">
      <w:pPr>
        <w:pStyle w:val="ListParagraph"/>
        <w:numPr>
          <w:ilvl w:val="0"/>
          <w:numId w:val="3"/>
        </w:numPr>
        <w:jc w:val="both"/>
        <w:rPr>
          <w:rFonts w:ascii="Times New Roman" w:hAnsi="Times New Roman"/>
          <w:sz w:val="24"/>
          <w:szCs w:val="24"/>
        </w:rPr>
      </w:pPr>
      <w:r>
        <w:rPr>
          <w:rFonts w:ascii="Times New Roman" w:hAnsi="Times New Roman"/>
          <w:sz w:val="24"/>
          <w:szCs w:val="24"/>
        </w:rPr>
        <w:t>muud tegurid, mis mõjutavad otseselt või kaudselt FIT laekumist.</w:t>
      </w:r>
    </w:p>
    <w:p w:rsidR="001479AF" w:rsidRDefault="00CC4571">
      <w:pPr>
        <w:jc w:val="both"/>
        <w:rPr>
          <w:rFonts w:ascii="Times New Roman" w:hAnsi="Times New Roman"/>
          <w:sz w:val="24"/>
          <w:szCs w:val="24"/>
        </w:rPr>
      </w:pPr>
      <w:r>
        <w:rPr>
          <w:rFonts w:ascii="Times New Roman" w:hAnsi="Times New Roman"/>
          <w:sz w:val="24"/>
          <w:szCs w:val="24"/>
        </w:rPr>
        <w:t>Põltsamaa linna FIT laekumise prognoosides on lähtutud järgmistest asjaoludest:</w:t>
      </w:r>
    </w:p>
    <w:p w:rsidR="001479AF" w:rsidRDefault="00CC4571">
      <w:pPr>
        <w:pStyle w:val="ListParagraph"/>
        <w:numPr>
          <w:ilvl w:val="0"/>
          <w:numId w:val="4"/>
        </w:numPr>
        <w:jc w:val="both"/>
        <w:rPr>
          <w:rFonts w:ascii="Times New Roman" w:hAnsi="Times New Roman"/>
          <w:sz w:val="24"/>
          <w:szCs w:val="24"/>
        </w:rPr>
      </w:pPr>
      <w:r>
        <w:rPr>
          <w:rFonts w:ascii="Times New Roman" w:hAnsi="Times New Roman"/>
          <w:sz w:val="24"/>
          <w:szCs w:val="24"/>
        </w:rPr>
        <w:t>elanike väljaränne aeglustub ning maksumaksjate arv jääb enamvähem samale tasemele (vähenemine ei ületa 1 %);</w:t>
      </w:r>
    </w:p>
    <w:p w:rsidR="00D02A17" w:rsidRDefault="00CC4571">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brutosissetulek jätkab tõusu, kuid aeglasemalt võrreldes varasemate aastatega. Eelmiste aastate analüüs on näidanud, et Põltsamaa linna keskmine brutosissetulek jääb Eesti </w:t>
      </w:r>
      <w:r w:rsidR="00D02A17">
        <w:rPr>
          <w:rFonts w:ascii="Times New Roman" w:hAnsi="Times New Roman"/>
          <w:sz w:val="24"/>
          <w:szCs w:val="24"/>
        </w:rPr>
        <w:t>keskmisele alla ca 150 euroga, aastatel 2014 ja 2015  oli</w:t>
      </w:r>
      <w:r>
        <w:rPr>
          <w:rFonts w:ascii="Times New Roman" w:hAnsi="Times New Roman"/>
          <w:sz w:val="24"/>
          <w:szCs w:val="24"/>
        </w:rPr>
        <w:t xml:space="preserve"> FIT laekumine </w:t>
      </w:r>
      <w:r>
        <w:rPr>
          <w:rFonts w:ascii="Times New Roman" w:hAnsi="Times New Roman"/>
          <w:sz w:val="24"/>
          <w:szCs w:val="24"/>
        </w:rPr>
        <w:lastRenderedPageBreak/>
        <w:t>üleprognoositud ca 25 000 euroga.</w:t>
      </w:r>
      <w:r w:rsidR="00D02A17">
        <w:rPr>
          <w:rFonts w:ascii="Times New Roman" w:hAnsi="Times New Roman"/>
          <w:sz w:val="24"/>
          <w:szCs w:val="24"/>
        </w:rPr>
        <w:t xml:space="preserve"> Alal</w:t>
      </w:r>
      <w:r w:rsidR="00C73698">
        <w:rPr>
          <w:rFonts w:ascii="Times New Roman" w:hAnsi="Times New Roman"/>
          <w:sz w:val="24"/>
          <w:szCs w:val="24"/>
        </w:rPr>
        <w:t>aekumist on arvestatud 2016-2021</w:t>
      </w:r>
      <w:r w:rsidR="00D02A17">
        <w:rPr>
          <w:rFonts w:ascii="Times New Roman" w:hAnsi="Times New Roman"/>
          <w:sz w:val="24"/>
          <w:szCs w:val="24"/>
        </w:rPr>
        <w:t xml:space="preserve"> prognoosimisel.</w:t>
      </w:r>
    </w:p>
    <w:p w:rsidR="001479AF" w:rsidRDefault="00D02A17">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 </w:t>
      </w:r>
      <w:r w:rsidR="00CC4571">
        <w:rPr>
          <w:rFonts w:ascii="Times New Roman" w:hAnsi="Times New Roman"/>
          <w:sz w:val="24"/>
          <w:szCs w:val="24"/>
        </w:rPr>
        <w:t xml:space="preserve">residendist füüsilise isiku maksustatavast tulust laekub elukohajärgsele kohalikule omavalitsusele 11,6% residendist füüsilise isiku maksustatavast tulust. </w:t>
      </w:r>
    </w:p>
    <w:p w:rsidR="001479AF" w:rsidRDefault="001479AF">
      <w:pPr>
        <w:jc w:val="both"/>
        <w:rPr>
          <w:rFonts w:ascii="Times New Roman" w:hAnsi="Times New Roman"/>
          <w:sz w:val="24"/>
          <w:szCs w:val="24"/>
        </w:rPr>
      </w:pPr>
    </w:p>
    <w:p w:rsidR="001479AF" w:rsidRDefault="001479AF">
      <w:pPr>
        <w:jc w:val="both"/>
        <w:rPr>
          <w:rFonts w:ascii="Times New Roman" w:hAnsi="Times New Roman"/>
          <w:sz w:val="24"/>
          <w:szCs w:val="24"/>
        </w:rPr>
      </w:pPr>
    </w:p>
    <w:tbl>
      <w:tblPr>
        <w:tblW w:w="9180" w:type="dxa"/>
        <w:tblInd w:w="108" w:type="dxa"/>
        <w:tblCellMar>
          <w:left w:w="10" w:type="dxa"/>
          <w:right w:w="10" w:type="dxa"/>
        </w:tblCellMar>
        <w:tblLook w:val="0000" w:firstRow="0" w:lastRow="0" w:firstColumn="0" w:lastColumn="0" w:noHBand="0" w:noVBand="0"/>
      </w:tblPr>
      <w:tblGrid>
        <w:gridCol w:w="1843"/>
        <w:gridCol w:w="1054"/>
        <w:gridCol w:w="1023"/>
        <w:gridCol w:w="1052"/>
        <w:gridCol w:w="1052"/>
        <w:gridCol w:w="1052"/>
        <w:gridCol w:w="1052"/>
        <w:gridCol w:w="1052"/>
      </w:tblGrid>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1479AF">
            <w:pPr>
              <w:pStyle w:val="ListParagraph"/>
              <w:spacing w:after="0" w:line="240" w:lineRule="auto"/>
              <w:jc w:val="both"/>
              <w:rPr>
                <w:rFonts w:ascii="Times New Roman" w:hAnsi="Times New Roman"/>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2013</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2018</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2019</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FIT laekumine -linn</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2 140 371</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2 274 886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2 395 135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2 490 900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2 590 500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2 694 700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2 800 200</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Muutus eelmise aastaga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1,09</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RM prognoos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1,08</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1,05</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RM keskmise palga prognoos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1479AF">
            <w:pPr>
              <w:spacing w:after="0" w:line="240" w:lineRule="auto"/>
              <w:jc w:val="both"/>
              <w:rPr>
                <w:rFonts w:ascii="Times New Roman" w:hAnsi="Times New Roman"/>
                <w:sz w:val="16"/>
                <w:szCs w:val="16"/>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1001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1049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1104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1170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1246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1326</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RM keskmise palga nominaalkasvu % prognoos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1479AF">
            <w:pPr>
              <w:spacing w:after="0" w:line="240" w:lineRule="auto"/>
              <w:jc w:val="both"/>
              <w:rPr>
                <w:rFonts w:ascii="Times New Roman" w:hAnsi="Times New Roman"/>
                <w:sz w:val="16"/>
                <w:szCs w:val="16"/>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5,6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4,8</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5,2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6,0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6,5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6,4</w:t>
            </w:r>
          </w:p>
        </w:tc>
      </w:tr>
      <w:tr w:rsidR="001479AF">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RM keskmise palga reaalkasvu % prognoos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1479AF">
            <w:pPr>
              <w:spacing w:after="0" w:line="240" w:lineRule="auto"/>
              <w:jc w:val="both"/>
              <w:rPr>
                <w:rFonts w:ascii="Times New Roman" w:hAnsi="Times New Roman"/>
                <w:sz w:val="16"/>
                <w:szCs w:val="16"/>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5,7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4,6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3,0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3,2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3,5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9AF" w:rsidRDefault="00CC4571">
            <w:pPr>
              <w:spacing w:after="0" w:line="240" w:lineRule="auto"/>
              <w:jc w:val="both"/>
              <w:rPr>
                <w:rFonts w:ascii="Times New Roman" w:hAnsi="Times New Roman"/>
                <w:sz w:val="16"/>
                <w:szCs w:val="16"/>
              </w:rPr>
            </w:pPr>
            <w:r>
              <w:rPr>
                <w:rFonts w:ascii="Times New Roman" w:hAnsi="Times New Roman"/>
                <w:sz w:val="16"/>
                <w:szCs w:val="16"/>
              </w:rPr>
              <w:t>3,7</w:t>
            </w:r>
          </w:p>
        </w:tc>
      </w:tr>
    </w:tbl>
    <w:p w:rsidR="001479AF" w:rsidRDefault="001479AF">
      <w:pPr>
        <w:jc w:val="both"/>
        <w:rPr>
          <w:rFonts w:ascii="Times New Roman" w:hAnsi="Times New Roman"/>
          <w:sz w:val="24"/>
          <w:szCs w:val="24"/>
        </w:rPr>
      </w:pPr>
    </w:p>
    <w:p w:rsidR="001479AF" w:rsidRDefault="00CC4571">
      <w:pPr>
        <w:jc w:val="both"/>
        <w:rPr>
          <w:rFonts w:ascii="Times New Roman" w:hAnsi="Times New Roman"/>
          <w:sz w:val="24"/>
          <w:szCs w:val="24"/>
        </w:rPr>
      </w:pPr>
      <w:r>
        <w:rPr>
          <w:rFonts w:ascii="Times New Roman" w:hAnsi="Times New Roman"/>
          <w:sz w:val="24"/>
          <w:szCs w:val="24"/>
        </w:rPr>
        <w:t>RM prognoos on võetud</w:t>
      </w:r>
      <w:r w:rsidR="00C95B4D">
        <w:rPr>
          <w:rFonts w:ascii="Times New Roman" w:hAnsi="Times New Roman"/>
          <w:sz w:val="24"/>
          <w:szCs w:val="24"/>
        </w:rPr>
        <w:t xml:space="preserve"> riigi</w:t>
      </w:r>
      <w:r>
        <w:rPr>
          <w:rFonts w:ascii="Times New Roman" w:hAnsi="Times New Roman"/>
          <w:sz w:val="24"/>
          <w:szCs w:val="24"/>
        </w:rPr>
        <w:t xml:space="preserve"> eelarvestrateegia 2015-2019 ja m</w:t>
      </w:r>
      <w:r w:rsidR="00D02A17">
        <w:rPr>
          <w:rFonts w:ascii="Times New Roman" w:hAnsi="Times New Roman"/>
          <w:sz w:val="24"/>
          <w:szCs w:val="24"/>
        </w:rPr>
        <w:t>ajaduse kevadprognoosi andmetel.</w:t>
      </w:r>
      <w:r>
        <w:rPr>
          <w:rFonts w:ascii="Times New Roman" w:hAnsi="Times New Roman"/>
          <w:sz w:val="24"/>
          <w:szCs w:val="24"/>
        </w:rPr>
        <w:t xml:space="preserve"> </w:t>
      </w:r>
    </w:p>
    <w:p w:rsidR="001479AF" w:rsidRDefault="00CC4571">
      <w:pPr>
        <w:rPr>
          <w:rFonts w:ascii="Times New Roman" w:hAnsi="Times New Roman"/>
          <w:sz w:val="24"/>
          <w:szCs w:val="24"/>
        </w:rPr>
      </w:pPr>
      <w:r>
        <w:rPr>
          <w:rFonts w:ascii="Times New Roman" w:hAnsi="Times New Roman"/>
          <w:sz w:val="24"/>
          <w:szCs w:val="24"/>
        </w:rPr>
        <w:t>2.2. Põhitegevuse kulud</w:t>
      </w:r>
    </w:p>
    <w:p w:rsidR="001479AF" w:rsidRDefault="00CC4571">
      <w:pPr>
        <w:jc w:val="both"/>
        <w:rPr>
          <w:rFonts w:ascii="Times New Roman" w:hAnsi="Times New Roman"/>
          <w:sz w:val="24"/>
          <w:szCs w:val="24"/>
        </w:rPr>
      </w:pPr>
      <w:r>
        <w:rPr>
          <w:rFonts w:ascii="Times New Roman" w:hAnsi="Times New Roman"/>
          <w:sz w:val="24"/>
          <w:szCs w:val="24"/>
        </w:rPr>
        <w:t>Põhitegevuse kulud sisaldavad toetusi, personalikulusid, majandamiskulusid ja muid kulusid.</w:t>
      </w:r>
    </w:p>
    <w:p w:rsidR="001479AF" w:rsidRDefault="00CC4571">
      <w:pPr>
        <w:rPr>
          <w:rFonts w:ascii="Times New Roman" w:hAnsi="Times New Roman"/>
          <w:sz w:val="24"/>
          <w:szCs w:val="24"/>
        </w:rPr>
      </w:pPr>
      <w:r>
        <w:rPr>
          <w:rFonts w:ascii="Times New Roman" w:hAnsi="Times New Roman"/>
          <w:sz w:val="24"/>
          <w:szCs w:val="24"/>
        </w:rPr>
        <w:t xml:space="preserve">Põhitegevuse kulude koostamisel on võetud aluseks hetke olukord. Kulusid saab minimaalselt suurendada, kuid olulisem on erinevates </w:t>
      </w:r>
      <w:r w:rsidR="00D02A17">
        <w:rPr>
          <w:rFonts w:ascii="Times New Roman" w:hAnsi="Times New Roman"/>
          <w:sz w:val="24"/>
          <w:szCs w:val="24"/>
        </w:rPr>
        <w:t xml:space="preserve">valdkondades kulude vähendamine dubleerivate tegevuste arvelt. </w:t>
      </w:r>
    </w:p>
    <w:p w:rsidR="001479AF" w:rsidRDefault="00CC4571">
      <w:pPr>
        <w:rPr>
          <w:rFonts w:ascii="Times New Roman" w:hAnsi="Times New Roman"/>
          <w:sz w:val="24"/>
          <w:szCs w:val="24"/>
        </w:rPr>
      </w:pPr>
      <w:r>
        <w:rPr>
          <w:rFonts w:ascii="Times New Roman" w:hAnsi="Times New Roman"/>
          <w:sz w:val="24"/>
          <w:szCs w:val="24"/>
        </w:rPr>
        <w:t>Peamised tegurid, mis annavad võimaluse põhitegevuse kulusid vähendada:</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linna hallatavate asutuste käsutuses olevate hoonete haldamise  ja varade kasutamise optimeerimine;</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alaeelarvetes sisemiste ressursside otsimine;</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kulude struktuuri optimeerimine;</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linna poolt osutatavate teenuste, toetuste vähendamine;</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linna poolt võetud kohustuste, mis ei ole seadusega pandud, vähendamine;</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linna varadega seotud kulude alandamine varade vähendamise teel;</w:t>
      </w:r>
    </w:p>
    <w:p w:rsidR="001479AF" w:rsidRDefault="00CC4571">
      <w:pPr>
        <w:pStyle w:val="ListParagraph"/>
        <w:numPr>
          <w:ilvl w:val="0"/>
          <w:numId w:val="5"/>
        </w:numPr>
        <w:rPr>
          <w:rFonts w:ascii="Times New Roman" w:hAnsi="Times New Roman"/>
          <w:sz w:val="24"/>
          <w:szCs w:val="24"/>
        </w:rPr>
      </w:pPr>
      <w:r>
        <w:rPr>
          <w:rFonts w:ascii="Times New Roman" w:hAnsi="Times New Roman"/>
          <w:sz w:val="24"/>
          <w:szCs w:val="24"/>
        </w:rPr>
        <w:t>mitmesuguste ökonoomiliste vahendite kasutamine (kaupade tellimine tsentraliseeritult, hankeperioodide pikendamine).</w:t>
      </w:r>
    </w:p>
    <w:p w:rsidR="001479AF" w:rsidRDefault="00CC4571">
      <w:pPr>
        <w:jc w:val="both"/>
        <w:rPr>
          <w:rFonts w:ascii="Times New Roman" w:hAnsi="Times New Roman"/>
          <w:sz w:val="24"/>
          <w:szCs w:val="24"/>
        </w:rPr>
      </w:pPr>
      <w:r>
        <w:rPr>
          <w:rFonts w:ascii="Times New Roman" w:hAnsi="Times New Roman"/>
          <w:sz w:val="24"/>
          <w:szCs w:val="24"/>
        </w:rPr>
        <w:t xml:space="preserve">Põhitegevuse kulusid ei ole võimalik suurendada, alaeelarvete kulud võivad muutuda ainult konkreetsel aastal tehtavate kulude lisandumisega või ärakadumisega. Samas tuleb tagada </w:t>
      </w:r>
      <w:r>
        <w:rPr>
          <w:rFonts w:ascii="Times New Roman" w:hAnsi="Times New Roman"/>
          <w:sz w:val="24"/>
          <w:szCs w:val="24"/>
        </w:rPr>
        <w:lastRenderedPageBreak/>
        <w:t xml:space="preserve">personalikuludes tööjõukulude kasv, et hoida maksumaksjaid kohapeal ja tagada linna asutuste konkurentsivõimeline toimimine. Oluliselt survestab omavalitsuse tööjõukulude kasvu riigi poolt üldhariduskoolide õpetajatele  pidevalt tagatav palgakasv üle </w:t>
      </w:r>
      <w:r w:rsidR="00D02A17">
        <w:rPr>
          <w:rFonts w:ascii="Times New Roman" w:hAnsi="Times New Roman"/>
          <w:sz w:val="24"/>
          <w:szCs w:val="24"/>
        </w:rPr>
        <w:t>8</w:t>
      </w:r>
      <w:r>
        <w:rPr>
          <w:rFonts w:ascii="Times New Roman" w:hAnsi="Times New Roman"/>
          <w:sz w:val="24"/>
          <w:szCs w:val="24"/>
        </w:rPr>
        <w:t xml:space="preserve">% ja alampalga kiire kasv. Tööjõukulusid on võimalik suurendada ainult FIT kasvu ja kokkuhoitud vahendite arvelt. Põhitegevuse kulusid on võimalik suurendada ainult riigipoolsete tegevuskulude eraldiste suurenemise ja projektitoetuste abil. </w:t>
      </w:r>
    </w:p>
    <w:p w:rsidR="001479AF" w:rsidRDefault="001479AF">
      <w:pPr>
        <w:jc w:val="both"/>
        <w:rPr>
          <w:rFonts w:ascii="Times New Roman" w:hAnsi="Times New Roman"/>
          <w:sz w:val="24"/>
          <w:szCs w:val="24"/>
        </w:rPr>
      </w:pPr>
    </w:p>
    <w:p w:rsidR="001479AF" w:rsidRDefault="00CC4571">
      <w:pPr>
        <w:jc w:val="both"/>
        <w:rPr>
          <w:rFonts w:ascii="Times New Roman" w:hAnsi="Times New Roman"/>
          <w:sz w:val="24"/>
          <w:szCs w:val="24"/>
        </w:rPr>
      </w:pPr>
      <w:r>
        <w:rPr>
          <w:rFonts w:ascii="Times New Roman" w:hAnsi="Times New Roman"/>
          <w:sz w:val="24"/>
          <w:szCs w:val="24"/>
        </w:rPr>
        <w:t>2.3. Investeerimistegevus</w:t>
      </w:r>
    </w:p>
    <w:p w:rsidR="001479AF" w:rsidRDefault="00CC4571">
      <w:pPr>
        <w:jc w:val="both"/>
        <w:rPr>
          <w:rFonts w:ascii="Times New Roman" w:hAnsi="Times New Roman"/>
          <w:sz w:val="24"/>
          <w:szCs w:val="24"/>
        </w:rPr>
      </w:pPr>
      <w:r>
        <w:rPr>
          <w:rFonts w:ascii="Times New Roman" w:hAnsi="Times New Roman"/>
          <w:sz w:val="24"/>
          <w:szCs w:val="24"/>
        </w:rPr>
        <w:t>Investeeringute vajadused on toodud Põltsamaa linna arengukavas.  Investeeringute vajadused on oluliselt suuremad rahalistest võimalustest. Eelarvestrateegias on arvestatud, et investeeringuid saab teha ainult erinevate toetusmeetmete toel, kusjuures omafinantseering tuleb katta laenuga. Kavandatud investeeringute teostamise aastad võivad muutuda sõltuvalt toetusmeetmete tingimustest ja rahastusotsustest. Euroopa Liidu ja siseriiklikest vahenditest toetatavate projektide kestus võib ületada mitut eelarveaastat.</w:t>
      </w:r>
    </w:p>
    <w:p w:rsidR="001479AF" w:rsidRDefault="00CC4571">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Põltsamaa </w:t>
      </w:r>
      <w:r w:rsidR="00C723E9">
        <w:rPr>
          <w:rFonts w:ascii="Times New Roman" w:hAnsi="Times New Roman"/>
          <w:sz w:val="24"/>
          <w:szCs w:val="24"/>
        </w:rPr>
        <w:t xml:space="preserve">Suure </w:t>
      </w:r>
      <w:r>
        <w:rPr>
          <w:rFonts w:ascii="Times New Roman" w:hAnsi="Times New Roman"/>
          <w:sz w:val="24"/>
          <w:szCs w:val="24"/>
        </w:rPr>
        <w:t>silla rekonstrueerimine –</w:t>
      </w:r>
      <w:r w:rsidR="00AC516B">
        <w:rPr>
          <w:rFonts w:ascii="Times New Roman" w:hAnsi="Times New Roman"/>
          <w:sz w:val="24"/>
          <w:szCs w:val="24"/>
        </w:rPr>
        <w:t xml:space="preserve"> </w:t>
      </w:r>
      <w:r>
        <w:rPr>
          <w:rFonts w:ascii="Times New Roman" w:hAnsi="Times New Roman"/>
          <w:sz w:val="24"/>
          <w:szCs w:val="24"/>
        </w:rPr>
        <w:t xml:space="preserve">maksumus </w:t>
      </w:r>
      <w:r w:rsidR="00BF6DE0">
        <w:rPr>
          <w:rFonts w:ascii="Times New Roman" w:hAnsi="Times New Roman"/>
          <w:sz w:val="24"/>
          <w:szCs w:val="24"/>
        </w:rPr>
        <w:t xml:space="preserve">641 000 </w:t>
      </w:r>
      <w:r>
        <w:rPr>
          <w:rFonts w:ascii="Times New Roman" w:hAnsi="Times New Roman"/>
          <w:sz w:val="24"/>
          <w:szCs w:val="24"/>
        </w:rPr>
        <w:t>eurot, sh omafinantseering 15% ehk</w:t>
      </w:r>
      <w:r w:rsidR="00BF6DE0">
        <w:rPr>
          <w:rFonts w:ascii="Times New Roman" w:hAnsi="Times New Roman"/>
          <w:sz w:val="24"/>
          <w:szCs w:val="24"/>
        </w:rPr>
        <w:t xml:space="preserve"> 96 14</w:t>
      </w:r>
      <w:r w:rsidR="00C723E9">
        <w:rPr>
          <w:rFonts w:ascii="Times New Roman" w:hAnsi="Times New Roman"/>
          <w:sz w:val="24"/>
          <w:szCs w:val="24"/>
        </w:rPr>
        <w:t xml:space="preserve">0 </w:t>
      </w:r>
      <w:r>
        <w:rPr>
          <w:rFonts w:ascii="Times New Roman" w:hAnsi="Times New Roman"/>
          <w:sz w:val="24"/>
          <w:szCs w:val="24"/>
        </w:rPr>
        <w:t>eu</w:t>
      </w:r>
      <w:r w:rsidR="00A35D8B">
        <w:rPr>
          <w:rFonts w:ascii="Times New Roman" w:hAnsi="Times New Roman"/>
          <w:sz w:val="24"/>
          <w:szCs w:val="24"/>
        </w:rPr>
        <w:t>rot</w:t>
      </w:r>
      <w:r w:rsidR="007A76DE">
        <w:rPr>
          <w:rFonts w:ascii="Times New Roman" w:hAnsi="Times New Roman"/>
          <w:sz w:val="24"/>
          <w:szCs w:val="24"/>
        </w:rPr>
        <w:t>, teostamine 2017. a</w:t>
      </w:r>
      <w:r w:rsidR="001E748C">
        <w:rPr>
          <w:rFonts w:ascii="Times New Roman" w:hAnsi="Times New Roman"/>
          <w:sz w:val="24"/>
          <w:szCs w:val="24"/>
        </w:rPr>
        <w:t>astal</w:t>
      </w:r>
      <w:r w:rsidR="00A35D8B">
        <w:rPr>
          <w:rFonts w:ascii="Times New Roman" w:hAnsi="Times New Roman"/>
          <w:sz w:val="24"/>
          <w:szCs w:val="24"/>
        </w:rPr>
        <w:t>.</w:t>
      </w:r>
      <w:r>
        <w:rPr>
          <w:rFonts w:ascii="Times New Roman" w:hAnsi="Times New Roman"/>
          <w:sz w:val="24"/>
          <w:szCs w:val="24"/>
        </w:rPr>
        <w:t xml:space="preserve"> </w:t>
      </w:r>
      <w:r w:rsidR="000A7F53">
        <w:rPr>
          <w:rFonts w:ascii="Times New Roman" w:hAnsi="Times New Roman"/>
          <w:sz w:val="24"/>
          <w:szCs w:val="24"/>
        </w:rPr>
        <w:t>Investeeringut toetatakse</w:t>
      </w:r>
      <w:r w:rsidR="00A35D8B">
        <w:rPr>
          <w:rFonts w:ascii="Times New Roman" w:hAnsi="Times New Roman"/>
          <w:sz w:val="24"/>
          <w:szCs w:val="24"/>
        </w:rPr>
        <w:t xml:space="preserve"> EL </w:t>
      </w:r>
      <w:r>
        <w:rPr>
          <w:rFonts w:ascii="Times New Roman" w:hAnsi="Times New Roman"/>
          <w:sz w:val="24"/>
          <w:szCs w:val="24"/>
        </w:rPr>
        <w:t xml:space="preserve">Piirkondade </w:t>
      </w:r>
      <w:r w:rsidR="000A7F53">
        <w:rPr>
          <w:rFonts w:ascii="Times New Roman" w:hAnsi="Times New Roman"/>
          <w:sz w:val="24"/>
          <w:szCs w:val="24"/>
        </w:rPr>
        <w:t>konkurentsivõime tõstmise meetmest</w:t>
      </w:r>
      <w:r>
        <w:rPr>
          <w:rFonts w:ascii="Times New Roman" w:hAnsi="Times New Roman"/>
          <w:sz w:val="24"/>
          <w:szCs w:val="24"/>
        </w:rPr>
        <w:t>.</w:t>
      </w:r>
    </w:p>
    <w:p w:rsidR="007A76DE" w:rsidRDefault="007A76DE">
      <w:pPr>
        <w:pStyle w:val="ListParagraph"/>
        <w:numPr>
          <w:ilvl w:val="0"/>
          <w:numId w:val="6"/>
        </w:numPr>
        <w:jc w:val="both"/>
        <w:rPr>
          <w:rFonts w:ascii="Times New Roman" w:hAnsi="Times New Roman"/>
          <w:sz w:val="24"/>
          <w:szCs w:val="24"/>
        </w:rPr>
      </w:pPr>
      <w:r>
        <w:rPr>
          <w:rFonts w:ascii="Times New Roman" w:hAnsi="Times New Roman"/>
          <w:sz w:val="24"/>
          <w:szCs w:val="24"/>
        </w:rPr>
        <w:t>Pajusi mnt rekonstrueerimine –</w:t>
      </w:r>
      <w:r w:rsidR="007C2139">
        <w:rPr>
          <w:rFonts w:ascii="Times New Roman" w:hAnsi="Times New Roman"/>
          <w:sz w:val="24"/>
          <w:szCs w:val="24"/>
        </w:rPr>
        <w:t xml:space="preserve"> </w:t>
      </w:r>
      <w:r w:rsidR="00C73698">
        <w:rPr>
          <w:rFonts w:ascii="Times New Roman" w:hAnsi="Times New Roman"/>
          <w:sz w:val="24"/>
          <w:szCs w:val="24"/>
        </w:rPr>
        <w:t>maksumus 86</w:t>
      </w:r>
      <w:r>
        <w:rPr>
          <w:rFonts w:ascii="Times New Roman" w:hAnsi="Times New Roman"/>
          <w:sz w:val="24"/>
          <w:szCs w:val="24"/>
        </w:rPr>
        <w:t>0 000 eurot. Investeering on võimalik teostada laenuvahendite arvelt.</w:t>
      </w:r>
      <w:r w:rsidR="00F25E30">
        <w:rPr>
          <w:rFonts w:ascii="Times New Roman" w:hAnsi="Times New Roman"/>
          <w:sz w:val="24"/>
          <w:szCs w:val="24"/>
        </w:rPr>
        <w:t xml:space="preserve"> Tööd teostatakse 2017. aastal</w:t>
      </w:r>
      <w:r w:rsidR="00857FED">
        <w:rPr>
          <w:rFonts w:ascii="Times New Roman" w:hAnsi="Times New Roman"/>
          <w:sz w:val="24"/>
          <w:szCs w:val="24"/>
        </w:rPr>
        <w:t>.</w:t>
      </w:r>
    </w:p>
    <w:p w:rsidR="001479AF" w:rsidRDefault="00CC4571">
      <w:pPr>
        <w:pStyle w:val="ListParagraph"/>
        <w:numPr>
          <w:ilvl w:val="0"/>
          <w:numId w:val="6"/>
        </w:numPr>
        <w:jc w:val="both"/>
        <w:rPr>
          <w:rFonts w:ascii="Times New Roman" w:hAnsi="Times New Roman"/>
          <w:sz w:val="24"/>
          <w:szCs w:val="24"/>
        </w:rPr>
      </w:pPr>
      <w:r>
        <w:rPr>
          <w:rFonts w:ascii="Times New Roman" w:hAnsi="Times New Roman"/>
          <w:sz w:val="24"/>
          <w:szCs w:val="24"/>
        </w:rPr>
        <w:t>Esmatasandi tervisekeskus –maksumus</w:t>
      </w:r>
      <w:r w:rsidR="007A76DE">
        <w:rPr>
          <w:rFonts w:ascii="Times New Roman" w:hAnsi="Times New Roman"/>
          <w:sz w:val="24"/>
          <w:szCs w:val="24"/>
        </w:rPr>
        <w:t xml:space="preserve"> 1,5 miljonit</w:t>
      </w:r>
      <w:r>
        <w:rPr>
          <w:rFonts w:ascii="Times New Roman" w:hAnsi="Times New Roman"/>
          <w:sz w:val="24"/>
          <w:szCs w:val="24"/>
        </w:rPr>
        <w:t xml:space="preserve"> eurot, sh omafinantseering 25%, kusjuures omafinantseeringu katmises osalevad naaberomaval</w:t>
      </w:r>
      <w:r w:rsidR="007A76DE">
        <w:rPr>
          <w:rFonts w:ascii="Times New Roman" w:hAnsi="Times New Roman"/>
          <w:sz w:val="24"/>
          <w:szCs w:val="24"/>
        </w:rPr>
        <w:t>itsused ning kohalike omavalitsuste ühinemislepingu</w:t>
      </w:r>
      <w:r w:rsidR="00857FED">
        <w:rPr>
          <w:rFonts w:ascii="Times New Roman" w:hAnsi="Times New Roman"/>
          <w:sz w:val="24"/>
          <w:szCs w:val="24"/>
        </w:rPr>
        <w:t>ga</w:t>
      </w:r>
      <w:r w:rsidR="007A76DE">
        <w:rPr>
          <w:rFonts w:ascii="Times New Roman" w:hAnsi="Times New Roman"/>
          <w:sz w:val="24"/>
          <w:szCs w:val="24"/>
        </w:rPr>
        <w:t xml:space="preserve"> on omafinantseering </w:t>
      </w:r>
      <w:r w:rsidR="0091241C">
        <w:rPr>
          <w:rFonts w:ascii="Times New Roman" w:hAnsi="Times New Roman"/>
          <w:sz w:val="24"/>
          <w:szCs w:val="24"/>
        </w:rPr>
        <w:t xml:space="preserve">kavandatud </w:t>
      </w:r>
      <w:r w:rsidR="007A76DE">
        <w:rPr>
          <w:rFonts w:ascii="Times New Roman" w:hAnsi="Times New Roman"/>
          <w:sz w:val="24"/>
          <w:szCs w:val="24"/>
        </w:rPr>
        <w:t>katta ühinemisrahast. Investeeringu</w:t>
      </w:r>
      <w:r w:rsidR="00222BD5">
        <w:rPr>
          <w:rFonts w:ascii="Times New Roman" w:hAnsi="Times New Roman"/>
          <w:sz w:val="24"/>
          <w:szCs w:val="24"/>
        </w:rPr>
        <w:t xml:space="preserve"> teostajaks </w:t>
      </w:r>
      <w:r w:rsidR="00C73698">
        <w:rPr>
          <w:rFonts w:ascii="Times New Roman" w:hAnsi="Times New Roman"/>
          <w:sz w:val="24"/>
          <w:szCs w:val="24"/>
        </w:rPr>
        <w:t>SA Põltsamaa Tervis aastail 2016-2019</w:t>
      </w:r>
      <w:r w:rsidR="00222BD5">
        <w:rPr>
          <w:rFonts w:ascii="Times New Roman" w:hAnsi="Times New Roman"/>
          <w:sz w:val="24"/>
          <w:szCs w:val="24"/>
        </w:rPr>
        <w:t>.</w:t>
      </w:r>
    </w:p>
    <w:p w:rsidR="007C2139" w:rsidRDefault="008E7DC1" w:rsidP="007C2139">
      <w:pPr>
        <w:pStyle w:val="ListParagraph"/>
        <w:numPr>
          <w:ilvl w:val="0"/>
          <w:numId w:val="6"/>
        </w:numPr>
        <w:jc w:val="both"/>
        <w:rPr>
          <w:rFonts w:ascii="Times New Roman" w:hAnsi="Times New Roman"/>
          <w:sz w:val="24"/>
          <w:szCs w:val="24"/>
        </w:rPr>
      </w:pPr>
      <w:r w:rsidRPr="007C2139">
        <w:rPr>
          <w:rFonts w:ascii="Times New Roman" w:hAnsi="Times New Roman"/>
          <w:sz w:val="24"/>
          <w:szCs w:val="24"/>
        </w:rPr>
        <w:t xml:space="preserve">Põltsamaa Lasteaed Tõruke energiatõhusamaks (fassaadi soojustamine jms) muutmiseks on kavandatud investeering mahus </w:t>
      </w:r>
      <w:r w:rsidR="007C2139" w:rsidRPr="007C2139">
        <w:rPr>
          <w:rFonts w:ascii="Times New Roman" w:hAnsi="Times New Roman"/>
          <w:sz w:val="24"/>
          <w:szCs w:val="24"/>
        </w:rPr>
        <w:t>637 948 eurot, kusjuures lasteaia energiatõhususe suurendamist toetab SA KIK</w:t>
      </w:r>
      <w:r w:rsidR="007C2139">
        <w:rPr>
          <w:rFonts w:ascii="Times New Roman" w:hAnsi="Times New Roman"/>
          <w:sz w:val="24"/>
          <w:szCs w:val="24"/>
        </w:rPr>
        <w:t>.</w:t>
      </w:r>
      <w:r w:rsidR="007C2139" w:rsidRPr="007C2139">
        <w:rPr>
          <w:rFonts w:ascii="Times New Roman" w:hAnsi="Times New Roman"/>
          <w:sz w:val="24"/>
          <w:szCs w:val="24"/>
        </w:rPr>
        <w:t xml:space="preserve"> </w:t>
      </w:r>
      <w:r w:rsidR="00857FED">
        <w:rPr>
          <w:rFonts w:ascii="Times New Roman" w:hAnsi="Times New Roman"/>
          <w:sz w:val="24"/>
          <w:szCs w:val="24"/>
        </w:rPr>
        <w:t>Tööd teostatakse 2018. aastal.</w:t>
      </w:r>
    </w:p>
    <w:p w:rsidR="008E7DC1" w:rsidRPr="007C2139" w:rsidRDefault="008E7DC1" w:rsidP="007C2139">
      <w:pPr>
        <w:pStyle w:val="ListParagraph"/>
        <w:numPr>
          <w:ilvl w:val="0"/>
          <w:numId w:val="6"/>
        </w:numPr>
        <w:jc w:val="both"/>
        <w:rPr>
          <w:rFonts w:ascii="Times New Roman" w:hAnsi="Times New Roman"/>
          <w:sz w:val="24"/>
          <w:szCs w:val="24"/>
        </w:rPr>
      </w:pPr>
      <w:r w:rsidRPr="007C2139">
        <w:rPr>
          <w:rFonts w:ascii="Times New Roman" w:hAnsi="Times New Roman"/>
          <w:sz w:val="24"/>
          <w:szCs w:val="24"/>
        </w:rPr>
        <w:t xml:space="preserve">Põltsamaa Kultuurikeskuse katus </w:t>
      </w:r>
      <w:r w:rsidR="007C2139">
        <w:rPr>
          <w:rFonts w:ascii="Times New Roman" w:hAnsi="Times New Roman"/>
          <w:sz w:val="24"/>
          <w:szCs w:val="24"/>
        </w:rPr>
        <w:t xml:space="preserve">renoveeritakse 2017. aastal </w:t>
      </w:r>
      <w:r w:rsidR="00AC516B">
        <w:rPr>
          <w:rFonts w:ascii="Times New Roman" w:hAnsi="Times New Roman"/>
          <w:sz w:val="24"/>
          <w:szCs w:val="24"/>
        </w:rPr>
        <w:t>eelarvelistest vahenditest summas 200 760 eurot.</w:t>
      </w:r>
    </w:p>
    <w:p w:rsidR="001479AF" w:rsidRDefault="00CC4571">
      <w:pPr>
        <w:pStyle w:val="ListParagraph"/>
        <w:numPr>
          <w:ilvl w:val="0"/>
          <w:numId w:val="6"/>
        </w:numPr>
        <w:jc w:val="both"/>
        <w:rPr>
          <w:rFonts w:ascii="Times New Roman" w:hAnsi="Times New Roman"/>
          <w:sz w:val="24"/>
          <w:szCs w:val="24"/>
        </w:rPr>
      </w:pPr>
      <w:r>
        <w:rPr>
          <w:rFonts w:ascii="Times New Roman" w:hAnsi="Times New Roman"/>
          <w:sz w:val="24"/>
          <w:szCs w:val="24"/>
        </w:rPr>
        <w:t>Atraktiivse linnakeskuse väljaarendamine Kesk ja Kuperjanovi</w:t>
      </w:r>
      <w:r w:rsidR="00604F18">
        <w:rPr>
          <w:rFonts w:ascii="Times New Roman" w:hAnsi="Times New Roman"/>
          <w:sz w:val="24"/>
          <w:szCs w:val="24"/>
        </w:rPr>
        <w:t xml:space="preserve"> tänavate piirkonnas - eeldatav </w:t>
      </w:r>
      <w:r>
        <w:rPr>
          <w:rFonts w:ascii="Times New Roman" w:hAnsi="Times New Roman"/>
          <w:sz w:val="24"/>
          <w:szCs w:val="24"/>
        </w:rPr>
        <w:t xml:space="preserve"> maksumus</w:t>
      </w:r>
      <w:r w:rsidR="00435F7B">
        <w:rPr>
          <w:rFonts w:ascii="Times New Roman" w:hAnsi="Times New Roman"/>
          <w:sz w:val="24"/>
          <w:szCs w:val="24"/>
        </w:rPr>
        <w:t xml:space="preserve"> 450</w:t>
      </w:r>
      <w:r w:rsidR="006842E6">
        <w:rPr>
          <w:rFonts w:ascii="Times New Roman" w:hAnsi="Times New Roman"/>
          <w:sz w:val="24"/>
          <w:szCs w:val="24"/>
        </w:rPr>
        <w:t xml:space="preserve"> 000 </w:t>
      </w:r>
      <w:r>
        <w:rPr>
          <w:rFonts w:ascii="Times New Roman" w:hAnsi="Times New Roman"/>
          <w:sz w:val="24"/>
          <w:szCs w:val="24"/>
        </w:rPr>
        <w:t>eurot</w:t>
      </w:r>
      <w:r w:rsidR="00435F7B">
        <w:rPr>
          <w:rFonts w:ascii="Times New Roman" w:hAnsi="Times New Roman"/>
          <w:sz w:val="24"/>
          <w:szCs w:val="24"/>
        </w:rPr>
        <w:t>.</w:t>
      </w:r>
      <w:r>
        <w:rPr>
          <w:rFonts w:ascii="Times New Roman" w:hAnsi="Times New Roman"/>
          <w:sz w:val="24"/>
          <w:szCs w:val="24"/>
        </w:rPr>
        <w:t xml:space="preserve"> </w:t>
      </w:r>
    </w:p>
    <w:p w:rsidR="008E7DC1" w:rsidRDefault="008E7DC1" w:rsidP="008E7DC1">
      <w:pPr>
        <w:pStyle w:val="ListParagraph"/>
        <w:numPr>
          <w:ilvl w:val="0"/>
          <w:numId w:val="6"/>
        </w:numPr>
        <w:jc w:val="both"/>
        <w:rPr>
          <w:rFonts w:ascii="Times New Roman" w:hAnsi="Times New Roman"/>
          <w:sz w:val="24"/>
          <w:szCs w:val="24"/>
        </w:rPr>
      </w:pPr>
      <w:r w:rsidRPr="008E7DC1">
        <w:rPr>
          <w:rFonts w:ascii="Times New Roman" w:hAnsi="Times New Roman"/>
          <w:sz w:val="24"/>
          <w:szCs w:val="24"/>
        </w:rPr>
        <w:t>T</w:t>
      </w:r>
      <w:r w:rsidR="00CC4571" w:rsidRPr="008E7DC1">
        <w:rPr>
          <w:rFonts w:ascii="Times New Roman" w:hAnsi="Times New Roman"/>
          <w:sz w:val="24"/>
          <w:szCs w:val="24"/>
        </w:rPr>
        <w:t>äna</w:t>
      </w:r>
      <w:r w:rsidR="00604F18">
        <w:rPr>
          <w:rFonts w:ascii="Times New Roman" w:hAnsi="Times New Roman"/>
          <w:sz w:val="24"/>
          <w:szCs w:val="24"/>
        </w:rPr>
        <w:t>va</w:t>
      </w:r>
      <w:r w:rsidR="00CC4571" w:rsidRPr="008E7DC1">
        <w:rPr>
          <w:rFonts w:ascii="Times New Roman" w:hAnsi="Times New Roman"/>
          <w:sz w:val="24"/>
          <w:szCs w:val="24"/>
        </w:rPr>
        <w:t xml:space="preserve">valgustuse </w:t>
      </w:r>
      <w:r w:rsidRPr="008E7DC1">
        <w:rPr>
          <w:rFonts w:ascii="Times New Roman" w:hAnsi="Times New Roman"/>
          <w:sz w:val="24"/>
          <w:szCs w:val="24"/>
        </w:rPr>
        <w:t>rekonstrueerimiseks on kavandatud</w:t>
      </w:r>
      <w:r w:rsidR="00435F7B">
        <w:rPr>
          <w:rFonts w:ascii="Times New Roman" w:hAnsi="Times New Roman"/>
          <w:sz w:val="24"/>
          <w:szCs w:val="24"/>
        </w:rPr>
        <w:t xml:space="preserve">  1 450</w:t>
      </w:r>
      <w:r w:rsidRPr="008E7DC1">
        <w:rPr>
          <w:rFonts w:ascii="Times New Roman" w:hAnsi="Times New Roman"/>
          <w:sz w:val="24"/>
          <w:szCs w:val="24"/>
        </w:rPr>
        <w:t> 000 eurot. Taotlus esitatakse EL rahalistest vahenditest toetatavasse täna</w:t>
      </w:r>
      <w:r w:rsidR="00604F18">
        <w:rPr>
          <w:rFonts w:ascii="Times New Roman" w:hAnsi="Times New Roman"/>
          <w:sz w:val="24"/>
          <w:szCs w:val="24"/>
        </w:rPr>
        <w:t>va</w:t>
      </w:r>
      <w:r w:rsidRPr="008E7DC1">
        <w:rPr>
          <w:rFonts w:ascii="Times New Roman" w:hAnsi="Times New Roman"/>
          <w:sz w:val="24"/>
          <w:szCs w:val="24"/>
        </w:rPr>
        <w:t>valgustuse rekonstrueerimise meetmesse.</w:t>
      </w:r>
      <w:r w:rsidR="00CC4571" w:rsidRPr="008E7DC1">
        <w:rPr>
          <w:rFonts w:ascii="Times New Roman" w:hAnsi="Times New Roman"/>
          <w:sz w:val="24"/>
          <w:szCs w:val="24"/>
        </w:rPr>
        <w:t xml:space="preserve"> </w:t>
      </w:r>
      <w:r w:rsidR="00435F7B">
        <w:rPr>
          <w:rFonts w:ascii="Times New Roman" w:hAnsi="Times New Roman"/>
          <w:sz w:val="24"/>
          <w:szCs w:val="24"/>
        </w:rPr>
        <w:t>Omafinantseering ca 35%.</w:t>
      </w:r>
    </w:p>
    <w:p w:rsidR="001479AF" w:rsidRPr="008E7DC1" w:rsidRDefault="00CC4571" w:rsidP="008E7DC1">
      <w:pPr>
        <w:pStyle w:val="ListParagraph"/>
        <w:numPr>
          <w:ilvl w:val="0"/>
          <w:numId w:val="6"/>
        </w:numPr>
        <w:jc w:val="both"/>
        <w:rPr>
          <w:rFonts w:ascii="Times New Roman" w:hAnsi="Times New Roman"/>
          <w:sz w:val="24"/>
          <w:szCs w:val="24"/>
        </w:rPr>
      </w:pPr>
      <w:r w:rsidRPr="008E7DC1">
        <w:rPr>
          <w:rFonts w:ascii="Times New Roman" w:hAnsi="Times New Roman"/>
          <w:sz w:val="24"/>
          <w:szCs w:val="24"/>
        </w:rPr>
        <w:lastRenderedPageBreak/>
        <w:t>Lille tänava õppehoone</w:t>
      </w:r>
      <w:r w:rsidR="00EB2878">
        <w:rPr>
          <w:rFonts w:ascii="Times New Roman" w:hAnsi="Times New Roman"/>
          <w:sz w:val="24"/>
          <w:szCs w:val="24"/>
        </w:rPr>
        <w:t xml:space="preserve"> ja õpilaskodu </w:t>
      </w:r>
      <w:r w:rsidRPr="008E7DC1">
        <w:rPr>
          <w:rFonts w:ascii="Times New Roman" w:hAnsi="Times New Roman"/>
          <w:sz w:val="24"/>
          <w:szCs w:val="24"/>
        </w:rPr>
        <w:t xml:space="preserve"> renoveerimise kulud</w:t>
      </w:r>
      <w:r w:rsidR="008E7DC1">
        <w:rPr>
          <w:rFonts w:ascii="Times New Roman" w:hAnsi="Times New Roman"/>
          <w:sz w:val="24"/>
          <w:szCs w:val="24"/>
        </w:rPr>
        <w:t>eks on planeeritud 1,5 miljonit eurot</w:t>
      </w:r>
      <w:r w:rsidRPr="008E7DC1">
        <w:rPr>
          <w:rFonts w:ascii="Times New Roman" w:hAnsi="Times New Roman"/>
          <w:sz w:val="24"/>
          <w:szCs w:val="24"/>
        </w:rPr>
        <w:t>, mis täpsustuvad toetusmeetmete tingimuste selgumisel.</w:t>
      </w:r>
      <w:r w:rsidR="00925EB4">
        <w:rPr>
          <w:rFonts w:ascii="Times New Roman" w:hAnsi="Times New Roman"/>
          <w:sz w:val="24"/>
          <w:szCs w:val="24"/>
        </w:rPr>
        <w:t xml:space="preserve"> Õpilaskodu renoveerimiseks taotletakse toetust regionaalsete investeeringute programmit.</w:t>
      </w:r>
    </w:p>
    <w:p w:rsidR="001479AF" w:rsidRDefault="001479AF">
      <w:pPr>
        <w:ind w:left="1080"/>
        <w:rPr>
          <w:rFonts w:ascii="Times New Roman" w:hAnsi="Times New Roman"/>
          <w:sz w:val="24"/>
          <w:szCs w:val="24"/>
        </w:rPr>
      </w:pPr>
    </w:p>
    <w:p w:rsidR="001479AF" w:rsidRDefault="00CC4571">
      <w:pPr>
        <w:rPr>
          <w:rFonts w:ascii="Times New Roman" w:hAnsi="Times New Roman"/>
          <w:sz w:val="24"/>
          <w:szCs w:val="24"/>
        </w:rPr>
      </w:pPr>
      <w:r>
        <w:rPr>
          <w:rFonts w:ascii="Times New Roman" w:hAnsi="Times New Roman"/>
          <w:sz w:val="24"/>
          <w:szCs w:val="24"/>
        </w:rPr>
        <w:t>2.4. Põhitegevuse tulem</w:t>
      </w:r>
    </w:p>
    <w:p w:rsidR="001479AF" w:rsidRDefault="00CC4571">
      <w:pPr>
        <w:jc w:val="both"/>
        <w:rPr>
          <w:rFonts w:ascii="Times New Roman" w:hAnsi="Times New Roman"/>
          <w:sz w:val="24"/>
          <w:szCs w:val="24"/>
        </w:rPr>
      </w:pPr>
      <w:r>
        <w:rPr>
          <w:rFonts w:ascii="Times New Roman" w:hAnsi="Times New Roman"/>
          <w:sz w:val="24"/>
          <w:szCs w:val="24"/>
        </w:rPr>
        <w:t>Põhitegevuse tulemi maht peab tagama linnale võetud kohustuste tasumise (laenude põhiosa- ja intressimaksed) ja peaks jääma vahendeid linna mitmesuguste investeeringute teostamiseks. Optimaalne vahekord põhitegevuse tulemi jaotuses oleks maksimaalselt 50% laenude tagasimakseteks ja ülejäänud osa investeeringuteks või investeeringute omaosaluseks.</w:t>
      </w:r>
      <w:r w:rsidR="00E97166">
        <w:rPr>
          <w:rFonts w:ascii="Times New Roman" w:hAnsi="Times New Roman"/>
          <w:sz w:val="24"/>
          <w:szCs w:val="24"/>
        </w:rPr>
        <w:t xml:space="preserve"> Põhitegevuse tulem on kõige olulisemaks  indikaatoriks täiendavate rahaliste vahendite taotlemisel ja laenude võtmisel.</w:t>
      </w:r>
    </w:p>
    <w:p w:rsidR="001479AF" w:rsidRDefault="00CC4571">
      <w:pPr>
        <w:rPr>
          <w:rFonts w:ascii="Times New Roman" w:hAnsi="Times New Roman"/>
          <w:sz w:val="24"/>
          <w:szCs w:val="24"/>
        </w:rPr>
      </w:pPr>
      <w:r>
        <w:rPr>
          <w:rFonts w:ascii="Times New Roman" w:hAnsi="Times New Roman"/>
          <w:sz w:val="24"/>
          <w:szCs w:val="24"/>
        </w:rPr>
        <w:t>NETOVÕLAKOORMUS JA KOHUSTUSTE VÕTMINE</w:t>
      </w:r>
    </w:p>
    <w:p w:rsidR="001479AF" w:rsidRDefault="00CC4571" w:rsidP="003E2B7D">
      <w:pPr>
        <w:jc w:val="both"/>
        <w:rPr>
          <w:rFonts w:ascii="Times New Roman" w:hAnsi="Times New Roman"/>
          <w:sz w:val="24"/>
          <w:szCs w:val="24"/>
        </w:rPr>
      </w:pPr>
      <w:r>
        <w:rPr>
          <w:rFonts w:ascii="Times New Roman" w:hAnsi="Times New Roman"/>
          <w:sz w:val="24"/>
          <w:szCs w:val="24"/>
        </w:rPr>
        <w:t xml:space="preserve">Põltsamaa linn on eelarve koostamisel alati kinni pidanud eelarve distsipliini nõudvatest piirmääradest ja kitsendustest. </w:t>
      </w:r>
      <w:r w:rsidR="008076B5">
        <w:rPr>
          <w:rFonts w:ascii="Times New Roman" w:hAnsi="Times New Roman"/>
          <w:sz w:val="24"/>
          <w:szCs w:val="24"/>
        </w:rPr>
        <w:t xml:space="preserve">Erinevate </w:t>
      </w:r>
      <w:r>
        <w:rPr>
          <w:rFonts w:ascii="Times New Roman" w:hAnsi="Times New Roman"/>
          <w:sz w:val="24"/>
          <w:szCs w:val="24"/>
        </w:rPr>
        <w:t>eelarveaasta</w:t>
      </w:r>
      <w:r w:rsidR="008076B5">
        <w:rPr>
          <w:rFonts w:ascii="Times New Roman" w:hAnsi="Times New Roman"/>
          <w:sz w:val="24"/>
          <w:szCs w:val="24"/>
        </w:rPr>
        <w:t>te netovõlakoormuseks kujuneb planeeritud investeeringute korral</w:t>
      </w:r>
      <w:r>
        <w:rPr>
          <w:rFonts w:ascii="Times New Roman" w:hAnsi="Times New Roman"/>
          <w:sz w:val="24"/>
          <w:szCs w:val="24"/>
        </w:rPr>
        <w:t xml:space="preserve"> 40</w:t>
      </w:r>
      <w:r w:rsidR="008076B5">
        <w:rPr>
          <w:rFonts w:ascii="Times New Roman" w:hAnsi="Times New Roman"/>
          <w:sz w:val="24"/>
          <w:szCs w:val="24"/>
        </w:rPr>
        <w:t xml:space="preserve"> -</w:t>
      </w:r>
      <w:r w:rsidR="002D2E32">
        <w:rPr>
          <w:rFonts w:ascii="Times New Roman" w:hAnsi="Times New Roman"/>
          <w:sz w:val="24"/>
          <w:szCs w:val="24"/>
        </w:rPr>
        <w:t xml:space="preserve"> </w:t>
      </w:r>
      <w:r w:rsidR="008076B5">
        <w:rPr>
          <w:rFonts w:ascii="Times New Roman" w:hAnsi="Times New Roman"/>
          <w:sz w:val="24"/>
          <w:szCs w:val="24"/>
        </w:rPr>
        <w:t>45</w:t>
      </w:r>
      <w:r>
        <w:rPr>
          <w:rFonts w:ascii="Times New Roman" w:hAnsi="Times New Roman"/>
          <w:sz w:val="24"/>
          <w:szCs w:val="24"/>
        </w:rPr>
        <w:t>%, mis on lubatavast netovõlakoormusest (60%) väiksem, kuid eelarvele siiski koormav. Senine laenude maht on vastanud linna võimekusele. Investeerimistegevuse all toodud objektide loetelu võimaldab tuua linna arendamiseks täiendavaid rahalisi vahendeid (1,25 eurot omafinantseeringut lisab 3,75 eurot toetust).  Omafinantseeringu katteks on vajalik võtta laenu, sest linnal vabad rahalised vahendid puuduvad.</w:t>
      </w:r>
    </w:p>
    <w:tbl>
      <w:tblPr>
        <w:tblW w:w="9001" w:type="dxa"/>
        <w:tblCellMar>
          <w:left w:w="10" w:type="dxa"/>
          <w:right w:w="10" w:type="dxa"/>
        </w:tblCellMar>
        <w:tblLook w:val="0000" w:firstRow="0" w:lastRow="0" w:firstColumn="0" w:lastColumn="0" w:noHBand="0" w:noVBand="0"/>
      </w:tblPr>
      <w:tblGrid>
        <w:gridCol w:w="1842"/>
        <w:gridCol w:w="1418"/>
        <w:gridCol w:w="1772"/>
        <w:gridCol w:w="2268"/>
        <w:gridCol w:w="1701"/>
      </w:tblGrid>
      <w:tr w:rsidR="001479AF">
        <w:trPr>
          <w:trHeight w:val="255"/>
        </w:trPr>
        <w:tc>
          <w:tcPr>
            <w:tcW w:w="9001" w:type="dxa"/>
            <w:gridSpan w:val="5"/>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r>
              <w:rPr>
                <w:rFonts w:ascii="Times New Roman" w:hAnsi="Times New Roman"/>
                <w:b/>
                <w:color w:val="000000"/>
                <w:sz w:val="16"/>
                <w:szCs w:val="16"/>
              </w:rPr>
              <w:t>OLEMASOLEVAD LAENUD, LIISINGUD, KÄEND</w:t>
            </w:r>
            <w:r w:rsidR="001C3632">
              <w:rPr>
                <w:rFonts w:ascii="Times New Roman" w:hAnsi="Times New Roman"/>
                <w:b/>
                <w:color w:val="000000"/>
                <w:sz w:val="16"/>
                <w:szCs w:val="16"/>
              </w:rPr>
              <w:t>USE</w:t>
            </w:r>
            <w:r w:rsidR="00B56512">
              <w:rPr>
                <w:rFonts w:ascii="Times New Roman" w:hAnsi="Times New Roman"/>
                <w:b/>
                <w:color w:val="000000"/>
                <w:sz w:val="16"/>
                <w:szCs w:val="16"/>
              </w:rPr>
              <w:t>D JA MUUD KOHUSTUSED (EUR) 3</w:t>
            </w:r>
            <w:r w:rsidR="0051325E">
              <w:rPr>
                <w:rFonts w:ascii="Times New Roman" w:hAnsi="Times New Roman"/>
                <w:b/>
                <w:color w:val="000000"/>
                <w:sz w:val="16"/>
                <w:szCs w:val="16"/>
              </w:rPr>
              <w:t>1.08</w:t>
            </w:r>
            <w:r w:rsidR="00E2216F">
              <w:rPr>
                <w:rFonts w:ascii="Times New Roman" w:hAnsi="Times New Roman"/>
                <w:b/>
                <w:color w:val="000000"/>
                <w:sz w:val="16"/>
                <w:szCs w:val="16"/>
              </w:rPr>
              <w:t>.2017</w:t>
            </w:r>
          </w:p>
        </w:tc>
      </w:tr>
      <w:tr w:rsidR="001479AF">
        <w:trPr>
          <w:trHeight w:val="407"/>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pPr>
              <w:jc w:val="center"/>
              <w:rPr>
                <w:rFonts w:ascii="Times New Roman" w:hAnsi="Times New Roman"/>
                <w:b/>
                <w:color w:val="000000"/>
                <w:sz w:val="16"/>
                <w:szCs w:val="16"/>
              </w:rPr>
            </w:pPr>
            <w:r>
              <w:rPr>
                <w:rFonts w:ascii="Times New Roman" w:hAnsi="Times New Roman"/>
                <w:b/>
                <w:color w:val="000000"/>
                <w:sz w:val="16"/>
                <w:szCs w:val="16"/>
              </w:rPr>
              <w:t>Kohustuse liik ja sihtotstarve</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pPr>
              <w:jc w:val="center"/>
              <w:rPr>
                <w:rFonts w:ascii="Times New Roman" w:hAnsi="Times New Roman"/>
                <w:b/>
                <w:color w:val="000000"/>
                <w:sz w:val="16"/>
                <w:szCs w:val="16"/>
              </w:rPr>
            </w:pPr>
            <w:r>
              <w:rPr>
                <w:rFonts w:ascii="Times New Roman" w:hAnsi="Times New Roman"/>
                <w:b/>
                <w:color w:val="000000"/>
                <w:sz w:val="16"/>
                <w:szCs w:val="16"/>
              </w:rPr>
              <w:t>Partner</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pPr>
              <w:jc w:val="center"/>
            </w:pPr>
            <w:r>
              <w:rPr>
                <w:rFonts w:ascii="Times New Roman" w:hAnsi="Times New Roman"/>
                <w:b/>
                <w:color w:val="000000"/>
                <w:sz w:val="16"/>
                <w:szCs w:val="16"/>
              </w:rPr>
              <w:t>Kohustuse jääk</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pPr>
              <w:jc w:val="center"/>
              <w:rPr>
                <w:rFonts w:ascii="Times New Roman" w:hAnsi="Times New Roman"/>
                <w:b/>
                <w:color w:val="000000"/>
                <w:sz w:val="16"/>
                <w:szCs w:val="16"/>
              </w:rPr>
            </w:pPr>
            <w:r>
              <w:rPr>
                <w:rFonts w:ascii="Times New Roman" w:hAnsi="Times New Roman"/>
                <w:b/>
                <w:color w:val="000000"/>
                <w:sz w:val="16"/>
                <w:szCs w:val="16"/>
              </w:rPr>
              <w:t>Intressimäär</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CC4571">
            <w:pPr>
              <w:rPr>
                <w:rFonts w:ascii="Times New Roman" w:hAnsi="Times New Roman"/>
                <w:b/>
                <w:color w:val="000000"/>
                <w:sz w:val="16"/>
                <w:szCs w:val="16"/>
              </w:rPr>
            </w:pPr>
            <w:r>
              <w:rPr>
                <w:rFonts w:ascii="Times New Roman" w:hAnsi="Times New Roman"/>
                <w:b/>
                <w:color w:val="000000"/>
                <w:sz w:val="16"/>
                <w:szCs w:val="16"/>
              </w:rPr>
              <w:t>Lõpptähtaeg</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SA KIK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829 572</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Euribor+1,00%</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2028.a.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176 614</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Euribor+0,19%</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2021.a.</w:t>
            </w:r>
          </w:p>
        </w:tc>
      </w:tr>
      <w:tr w:rsidR="001479AF">
        <w:trPr>
          <w:trHeight w:val="300"/>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79 916</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Euribor+0,19%</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2021.a.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64 615</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Euribor+0,19%</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2021.a.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19 553</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Euribor+3,8%</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2019.a.</w:t>
            </w:r>
          </w:p>
        </w:tc>
      </w:tr>
      <w:tr w:rsidR="00E2216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2216F" w:rsidRDefault="00E2216F">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E2216F" w:rsidRDefault="00E2216F">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E2216F" w:rsidRPr="00B56512" w:rsidRDefault="00E2216F">
            <w:pPr>
              <w:jc w:val="center"/>
              <w:rPr>
                <w:rFonts w:ascii="Times New Roman" w:hAnsi="Times New Roman"/>
                <w:bCs/>
                <w:color w:val="000000" w:themeColor="text1"/>
                <w:sz w:val="16"/>
                <w:szCs w:val="16"/>
              </w:rPr>
            </w:pPr>
            <w:r w:rsidRPr="00B56512">
              <w:rPr>
                <w:rFonts w:ascii="Times New Roman" w:hAnsi="Times New Roman"/>
                <w:bCs/>
                <w:color w:val="000000" w:themeColor="text1"/>
                <w:sz w:val="16"/>
                <w:szCs w:val="16"/>
              </w:rPr>
              <w:t>350 000</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E2216F" w:rsidRDefault="00E2216F">
            <w:pPr>
              <w:jc w:val="center"/>
              <w:rPr>
                <w:rFonts w:ascii="Times New Roman" w:hAnsi="Times New Roman"/>
                <w:sz w:val="16"/>
                <w:szCs w:val="16"/>
              </w:rPr>
            </w:pPr>
            <w:r>
              <w:rPr>
                <w:rFonts w:ascii="Times New Roman" w:hAnsi="Times New Roman"/>
                <w:sz w:val="16"/>
                <w:szCs w:val="16"/>
              </w:rPr>
              <w:t>6 k Euribor+0,92%</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E2216F" w:rsidRDefault="00E2216F">
            <w:pPr>
              <w:jc w:val="center"/>
              <w:rPr>
                <w:rFonts w:ascii="Times New Roman" w:hAnsi="Times New Roman"/>
                <w:sz w:val="16"/>
                <w:szCs w:val="16"/>
              </w:rPr>
            </w:pPr>
            <w:r>
              <w:rPr>
                <w:rFonts w:ascii="Times New Roman" w:hAnsi="Times New Roman"/>
                <w:sz w:val="16"/>
                <w:szCs w:val="16"/>
              </w:rPr>
              <w:t>2026.a.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Swedbank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86 697</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Euribor+1,29%</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2026.a.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Danske Bank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color w:val="000000" w:themeColor="text1"/>
              </w:rPr>
            </w:pPr>
            <w:r w:rsidRPr="00B56512">
              <w:rPr>
                <w:rFonts w:ascii="Times New Roman" w:hAnsi="Times New Roman"/>
                <w:bCs/>
                <w:color w:val="000000" w:themeColor="text1"/>
                <w:sz w:val="16"/>
                <w:szCs w:val="16"/>
              </w:rPr>
              <w:t>213 750</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6 k Euribor+1,18%</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jc w:val="center"/>
              <w:rPr>
                <w:rFonts w:ascii="Times New Roman" w:hAnsi="Times New Roman"/>
                <w:sz w:val="16"/>
                <w:szCs w:val="16"/>
              </w:rPr>
            </w:pPr>
            <w:r>
              <w:rPr>
                <w:rFonts w:ascii="Times New Roman" w:hAnsi="Times New Roman"/>
                <w:sz w:val="16"/>
                <w:szCs w:val="16"/>
              </w:rPr>
              <w:t>2023.a.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tcPr>
          <w:p w:rsidR="001479AF" w:rsidRDefault="00CC457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Default="00CC4571">
            <w:pPr>
              <w:rPr>
                <w:rFonts w:ascii="Times New Roman" w:hAnsi="Times New Roman"/>
                <w:sz w:val="16"/>
                <w:szCs w:val="16"/>
              </w:rPr>
            </w:pPr>
            <w:r>
              <w:rPr>
                <w:rFonts w:ascii="Times New Roman" w:hAnsi="Times New Roman"/>
                <w:sz w:val="16"/>
                <w:szCs w:val="16"/>
              </w:rPr>
              <w:t>AS Danske Bank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Pr="00B56512" w:rsidRDefault="00B56512">
            <w:pPr>
              <w:jc w:val="center"/>
              <w:rPr>
                <w:rFonts w:ascii="Times New Roman" w:hAnsi="Times New Roman"/>
                <w:color w:val="000000" w:themeColor="text1"/>
                <w:sz w:val="16"/>
                <w:szCs w:val="16"/>
              </w:rPr>
            </w:pPr>
            <w:r w:rsidRPr="00B56512">
              <w:rPr>
                <w:rFonts w:ascii="Times New Roman" w:hAnsi="Times New Roman"/>
                <w:color w:val="000000" w:themeColor="text1"/>
                <w:sz w:val="16"/>
                <w:szCs w:val="16"/>
              </w:rPr>
              <w:t>87 813</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Default="00CC4571">
            <w:pPr>
              <w:jc w:val="center"/>
              <w:rPr>
                <w:rFonts w:ascii="Times New Roman" w:hAnsi="Times New Roman"/>
                <w:sz w:val="16"/>
                <w:szCs w:val="16"/>
              </w:rPr>
            </w:pPr>
            <w:r>
              <w:rPr>
                <w:rFonts w:ascii="Times New Roman" w:hAnsi="Times New Roman"/>
                <w:sz w:val="16"/>
                <w:szCs w:val="16"/>
              </w:rPr>
              <w:t>6 k Euribor+0,95%</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Default="00CC4571">
            <w:pPr>
              <w:jc w:val="center"/>
              <w:rPr>
                <w:rFonts w:ascii="Times New Roman" w:hAnsi="Times New Roman"/>
                <w:sz w:val="16"/>
                <w:szCs w:val="16"/>
              </w:rPr>
            </w:pPr>
            <w:r>
              <w:rPr>
                <w:rFonts w:ascii="Times New Roman" w:hAnsi="Times New Roman"/>
                <w:sz w:val="16"/>
                <w:szCs w:val="16"/>
              </w:rPr>
              <w:t>2024.a.</w:t>
            </w:r>
          </w:p>
        </w:tc>
      </w:tr>
      <w:tr w:rsidR="001479AF">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E2216F">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sz w:val="16"/>
                <w:szCs w:val="16"/>
              </w:rPr>
            </w:pPr>
            <w:r>
              <w:rPr>
                <w:rFonts w:ascii="Times New Roman" w:hAnsi="Times New Roman"/>
                <w:sz w:val="16"/>
                <w:szCs w:val="16"/>
              </w:rPr>
              <w:t>AS Danske Bank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1479AF" w:rsidRDefault="001B5159">
            <w:pPr>
              <w:jc w:val="center"/>
            </w:pPr>
            <w:r>
              <w:rPr>
                <w:rFonts w:ascii="Times New Roman" w:hAnsi="Times New Roman"/>
                <w:bCs/>
                <w:color w:val="000000"/>
                <w:sz w:val="16"/>
                <w:szCs w:val="16"/>
              </w:rPr>
              <w:t>200 000</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1B5159">
            <w:pPr>
              <w:jc w:val="center"/>
              <w:rPr>
                <w:rFonts w:ascii="Times New Roman" w:hAnsi="Times New Roman"/>
                <w:sz w:val="16"/>
                <w:szCs w:val="16"/>
              </w:rPr>
            </w:pPr>
            <w:r>
              <w:rPr>
                <w:rFonts w:ascii="Times New Roman" w:hAnsi="Times New Roman"/>
                <w:sz w:val="16"/>
                <w:szCs w:val="16"/>
              </w:rPr>
              <w:t>6 k Euribor+0,89</w:t>
            </w:r>
            <w:r w:rsidR="00CC4571">
              <w:rPr>
                <w:rFonts w:ascii="Times New Roman" w:hAnsi="Times New Roman"/>
                <w:sz w:val="16"/>
                <w:szCs w:val="16"/>
              </w:rPr>
              <w:t>%</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1B5159">
            <w:pPr>
              <w:jc w:val="center"/>
              <w:rPr>
                <w:rFonts w:ascii="Times New Roman" w:hAnsi="Times New Roman"/>
                <w:sz w:val="16"/>
                <w:szCs w:val="16"/>
              </w:rPr>
            </w:pPr>
            <w:r>
              <w:rPr>
                <w:rFonts w:ascii="Times New Roman" w:hAnsi="Times New Roman"/>
                <w:sz w:val="16"/>
                <w:szCs w:val="16"/>
              </w:rPr>
              <w:t>2025</w:t>
            </w:r>
            <w:r w:rsidR="00CC4571">
              <w:rPr>
                <w:rFonts w:ascii="Times New Roman" w:hAnsi="Times New Roman"/>
                <w:sz w:val="16"/>
                <w:szCs w:val="16"/>
              </w:rPr>
              <w:t>.a.</w:t>
            </w:r>
          </w:p>
        </w:tc>
      </w:tr>
      <w:tr w:rsidR="009D2FD1">
        <w:trPr>
          <w:trHeight w:val="253"/>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9D2FD1" w:rsidRDefault="009D2FD1">
            <w:pPr>
              <w:rPr>
                <w:rFonts w:ascii="Times New Roman" w:hAnsi="Times New Roman"/>
                <w:sz w:val="16"/>
                <w:szCs w:val="16"/>
              </w:rPr>
            </w:pPr>
            <w:r>
              <w:rPr>
                <w:rFonts w:ascii="Times New Roman" w:hAnsi="Times New Roman"/>
                <w:sz w:val="16"/>
                <w:szCs w:val="16"/>
              </w:rPr>
              <w:t>Investeerimislaen</w:t>
            </w: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9D2FD1" w:rsidRDefault="009D2FD1">
            <w:pPr>
              <w:rPr>
                <w:rFonts w:ascii="Times New Roman" w:hAnsi="Times New Roman"/>
                <w:sz w:val="16"/>
                <w:szCs w:val="16"/>
              </w:rPr>
            </w:pPr>
            <w:r>
              <w:rPr>
                <w:rFonts w:ascii="Times New Roman" w:hAnsi="Times New Roman"/>
                <w:sz w:val="16"/>
                <w:szCs w:val="16"/>
              </w:rPr>
              <w:t>AS SEB Pank</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tcPr>
          <w:p w:rsidR="009D2FD1" w:rsidRDefault="009D2FD1">
            <w:pPr>
              <w:jc w:val="center"/>
              <w:rPr>
                <w:rFonts w:ascii="Times New Roman" w:hAnsi="Times New Roman"/>
                <w:bCs/>
                <w:color w:val="000000"/>
                <w:sz w:val="16"/>
                <w:szCs w:val="16"/>
              </w:rPr>
            </w:pPr>
            <w:r>
              <w:rPr>
                <w:rFonts w:ascii="Times New Roman" w:hAnsi="Times New Roman"/>
                <w:bCs/>
                <w:color w:val="000000"/>
                <w:sz w:val="16"/>
                <w:szCs w:val="16"/>
              </w:rPr>
              <w:t>600 000</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9D2FD1" w:rsidRDefault="009D2FD1">
            <w:pPr>
              <w:jc w:val="center"/>
              <w:rPr>
                <w:rFonts w:ascii="Times New Roman" w:hAnsi="Times New Roman"/>
                <w:sz w:val="16"/>
                <w:szCs w:val="16"/>
              </w:rPr>
            </w:pPr>
            <w:r>
              <w:rPr>
                <w:rFonts w:ascii="Times New Roman" w:hAnsi="Times New Roman"/>
                <w:sz w:val="16"/>
                <w:szCs w:val="16"/>
              </w:rPr>
              <w:t>6 k Euribor+0,65</w:t>
            </w:r>
            <w:r w:rsidR="00514A26">
              <w:rPr>
                <w:rFonts w:ascii="Times New Roman" w:hAnsi="Times New Roman"/>
                <w:sz w:val="16"/>
                <w:szCs w:val="16"/>
              </w:rPr>
              <w:t>%</w:t>
            </w: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9D2FD1" w:rsidRDefault="00514A26">
            <w:pPr>
              <w:jc w:val="center"/>
              <w:rPr>
                <w:rFonts w:ascii="Times New Roman" w:hAnsi="Times New Roman"/>
                <w:sz w:val="16"/>
                <w:szCs w:val="16"/>
              </w:rPr>
            </w:pPr>
            <w:r>
              <w:rPr>
                <w:rFonts w:ascii="Times New Roman" w:hAnsi="Times New Roman"/>
                <w:sz w:val="16"/>
                <w:szCs w:val="16"/>
              </w:rPr>
              <w:t>2022.a.</w:t>
            </w:r>
          </w:p>
        </w:tc>
      </w:tr>
      <w:tr w:rsidR="001479AF">
        <w:trPr>
          <w:trHeight w:val="251"/>
        </w:trPr>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1479AF">
            <w:pPr>
              <w:jc w:val="center"/>
              <w:rPr>
                <w:rFonts w:ascii="Times New Roman" w:hAnsi="Times New Roman"/>
                <w:color w:val="000000"/>
                <w:sz w:val="16"/>
                <w:szCs w:val="16"/>
              </w:rPr>
            </w:pPr>
          </w:p>
        </w:tc>
        <w:tc>
          <w:tcPr>
            <w:tcW w:w="141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CC4571">
            <w:pPr>
              <w:rPr>
                <w:rFonts w:ascii="Times New Roman" w:hAnsi="Times New Roman"/>
                <w:b/>
                <w:bCs/>
                <w:sz w:val="16"/>
                <w:szCs w:val="16"/>
              </w:rPr>
            </w:pPr>
            <w:r>
              <w:rPr>
                <w:rFonts w:ascii="Times New Roman" w:hAnsi="Times New Roman"/>
                <w:b/>
                <w:bCs/>
                <w:sz w:val="16"/>
                <w:szCs w:val="16"/>
              </w:rPr>
              <w:t>Kokku (EUR)</w:t>
            </w:r>
          </w:p>
        </w:tc>
        <w:tc>
          <w:tcPr>
            <w:tcW w:w="1772"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1479AF" w:rsidRDefault="001B5159">
            <w:pPr>
              <w:jc w:val="center"/>
              <w:rPr>
                <w:rFonts w:ascii="Times New Roman" w:hAnsi="Times New Roman"/>
                <w:b/>
                <w:bCs/>
                <w:color w:val="000000"/>
                <w:sz w:val="16"/>
                <w:szCs w:val="16"/>
              </w:rPr>
            </w:pPr>
            <w:r>
              <w:rPr>
                <w:rFonts w:ascii="Times New Roman" w:hAnsi="Times New Roman"/>
                <w:b/>
                <w:bCs/>
                <w:color w:val="000000"/>
                <w:sz w:val="16"/>
                <w:szCs w:val="16"/>
              </w:rPr>
              <w:t>2</w:t>
            </w:r>
            <w:r w:rsidR="00162CAD">
              <w:rPr>
                <w:rFonts w:ascii="Times New Roman" w:hAnsi="Times New Roman"/>
                <w:b/>
                <w:bCs/>
                <w:color w:val="000000"/>
                <w:sz w:val="16"/>
                <w:szCs w:val="16"/>
              </w:rPr>
              <w:t> 708 530</w:t>
            </w:r>
          </w:p>
        </w:tc>
        <w:tc>
          <w:tcPr>
            <w:tcW w:w="2268"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1479AF">
            <w:pPr>
              <w:jc w:val="center"/>
              <w:rPr>
                <w:rFonts w:ascii="Times New Roman" w:hAnsi="Times New Roman"/>
                <w:color w:val="000000"/>
                <w:sz w:val="16"/>
                <w:szCs w:val="16"/>
              </w:rPr>
            </w:pPr>
          </w:p>
        </w:tc>
        <w:tc>
          <w:tcPr>
            <w:tcW w:w="1701"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rsidR="001479AF" w:rsidRDefault="001479AF">
            <w:pPr>
              <w:jc w:val="center"/>
              <w:rPr>
                <w:rFonts w:ascii="Times New Roman" w:hAnsi="Times New Roman"/>
                <w:color w:val="000000"/>
                <w:sz w:val="16"/>
                <w:szCs w:val="16"/>
              </w:rPr>
            </w:pPr>
          </w:p>
        </w:tc>
      </w:tr>
    </w:tbl>
    <w:p w:rsidR="001479AF" w:rsidRDefault="001479AF">
      <w:pPr>
        <w:pStyle w:val="ListParagraph"/>
        <w:ind w:left="1440"/>
        <w:jc w:val="both"/>
        <w:rPr>
          <w:rFonts w:ascii="Times New Roman" w:hAnsi="Times New Roman"/>
          <w:sz w:val="24"/>
          <w:szCs w:val="24"/>
        </w:rPr>
      </w:pPr>
    </w:p>
    <w:p w:rsidR="00F321C2" w:rsidRDefault="00CC4571">
      <w:pPr>
        <w:jc w:val="both"/>
        <w:rPr>
          <w:rFonts w:ascii="Times New Roman" w:hAnsi="Times New Roman"/>
          <w:sz w:val="24"/>
          <w:szCs w:val="24"/>
        </w:rPr>
      </w:pPr>
      <w:r>
        <w:rPr>
          <w:rFonts w:ascii="Times New Roman" w:hAnsi="Times New Roman"/>
          <w:sz w:val="24"/>
          <w:szCs w:val="24"/>
        </w:rPr>
        <w:t>Täiendav laenukoormus on väga koormav ning mingil hetkel võib see muutuda linnale üle jõu käivaks. Laenukoormus suuren</w:t>
      </w:r>
      <w:r w:rsidR="00CF0D87">
        <w:rPr>
          <w:rFonts w:ascii="Times New Roman" w:hAnsi="Times New Roman"/>
          <w:sz w:val="24"/>
          <w:szCs w:val="24"/>
        </w:rPr>
        <w:t>eb oluliselt alates aastast 2017</w:t>
      </w:r>
      <w:r w:rsidR="006E1990">
        <w:rPr>
          <w:rFonts w:ascii="Times New Roman" w:hAnsi="Times New Roman"/>
          <w:sz w:val="24"/>
          <w:szCs w:val="24"/>
        </w:rPr>
        <w:t xml:space="preserve">, </w:t>
      </w:r>
      <w:r>
        <w:rPr>
          <w:rFonts w:ascii="Times New Roman" w:hAnsi="Times New Roman"/>
          <w:sz w:val="24"/>
          <w:szCs w:val="24"/>
        </w:rPr>
        <w:t xml:space="preserve"> laenude võtmisel rakendatakse 2 aastast laenu põhiosa tagasimakse vabastust. Laenu intressid on viimastel aastatel olnud madalad. </w:t>
      </w:r>
    </w:p>
    <w:p w:rsidR="001479AF" w:rsidRDefault="00CC4571">
      <w:pPr>
        <w:jc w:val="both"/>
        <w:rPr>
          <w:rFonts w:ascii="Times New Roman" w:hAnsi="Times New Roman"/>
          <w:sz w:val="24"/>
          <w:szCs w:val="24"/>
        </w:rPr>
      </w:pPr>
      <w:r>
        <w:rPr>
          <w:rFonts w:ascii="Times New Roman" w:hAnsi="Times New Roman"/>
          <w:sz w:val="24"/>
          <w:szCs w:val="24"/>
        </w:rPr>
        <w:t>TUNDLIKKUSE ANALÜÜS</w:t>
      </w:r>
    </w:p>
    <w:p w:rsidR="001479AF" w:rsidRDefault="00CC4571">
      <w:pPr>
        <w:jc w:val="both"/>
        <w:rPr>
          <w:rFonts w:ascii="Times New Roman" w:hAnsi="Times New Roman"/>
          <w:sz w:val="24"/>
          <w:szCs w:val="24"/>
        </w:rPr>
      </w:pPr>
      <w:r>
        <w:rPr>
          <w:rFonts w:ascii="Times New Roman" w:hAnsi="Times New Roman"/>
          <w:sz w:val="24"/>
          <w:szCs w:val="24"/>
        </w:rPr>
        <w:t xml:space="preserve">Linna finantsnäitajad on kooskõlas finantsdistsipliini tagamise meetmetega –KOFS vastavaid paragrahve silmas pidades. Eelarve sisemine tugevus on aga vähenenud. Põhitegevuse tulude ja kulude vahe ehk põhitegevuse tulem on väike, et tagada linna arenguks vajalike ressursside olemasolu. Olemasoleva kulude struktuuri ülalpidamine samas mahus ei ole enam linnale jõukohane. Kõik tulud, mis laekuvad, on vajalikud selle struktuuri hädapäraseks ülalpidamiseks. Kümne viimase aasta jooksul on vähenenud elanikkond, laste arv ja maksumaksjate arv, kuid kulude struktuur (asutuste arv ning töötajaskond) on püsinud enam-vähem samasugusena.  </w:t>
      </w:r>
    </w:p>
    <w:p w:rsidR="001479AF" w:rsidRDefault="00CC4571">
      <w:pPr>
        <w:jc w:val="both"/>
        <w:rPr>
          <w:rFonts w:ascii="Times New Roman" w:hAnsi="Times New Roman"/>
          <w:sz w:val="24"/>
          <w:szCs w:val="24"/>
        </w:rPr>
      </w:pPr>
      <w:r>
        <w:rPr>
          <w:rFonts w:ascii="Times New Roman" w:hAnsi="Times New Roman"/>
          <w:sz w:val="24"/>
          <w:szCs w:val="24"/>
        </w:rPr>
        <w:t>Tulude kasv 2-3% ei taga meile vajalikke ressursse.</w:t>
      </w:r>
    </w:p>
    <w:p w:rsidR="001479AF" w:rsidRDefault="00CC4571">
      <w:pPr>
        <w:jc w:val="both"/>
      </w:pPr>
      <w:r>
        <w:rPr>
          <w:rFonts w:ascii="Times New Roman" w:hAnsi="Times New Roman"/>
          <w:sz w:val="24"/>
          <w:szCs w:val="24"/>
        </w:rPr>
        <w:t>Viimastel aastatel on oluliselt suurenenud riskid linna eelarve majandamisel, ning need seisnevad järgmistes elementides:</w:t>
      </w:r>
    </w:p>
    <w:p w:rsidR="001479AF" w:rsidRDefault="00CC4571">
      <w:pPr>
        <w:pStyle w:val="ListParagraph"/>
        <w:numPr>
          <w:ilvl w:val="0"/>
          <w:numId w:val="7"/>
        </w:numPr>
        <w:jc w:val="both"/>
        <w:rPr>
          <w:rFonts w:ascii="Times New Roman" w:hAnsi="Times New Roman"/>
          <w:sz w:val="24"/>
          <w:szCs w:val="24"/>
        </w:rPr>
      </w:pPr>
      <w:r>
        <w:rPr>
          <w:rFonts w:ascii="Times New Roman" w:hAnsi="Times New Roman"/>
          <w:sz w:val="24"/>
          <w:szCs w:val="24"/>
        </w:rPr>
        <w:t>Ainuke tululiik, mis suureneb on FIT. Maamaksu laekumine ja tasandusfond pigem vähenevad, kui suurenevad;</w:t>
      </w:r>
    </w:p>
    <w:p w:rsidR="001479AF" w:rsidRDefault="00CC4571">
      <w:pPr>
        <w:pStyle w:val="ListParagraph"/>
        <w:numPr>
          <w:ilvl w:val="0"/>
          <w:numId w:val="7"/>
        </w:numPr>
        <w:jc w:val="both"/>
        <w:rPr>
          <w:rFonts w:ascii="Times New Roman" w:hAnsi="Times New Roman"/>
          <w:sz w:val="24"/>
          <w:szCs w:val="24"/>
        </w:rPr>
      </w:pPr>
      <w:r>
        <w:rPr>
          <w:rFonts w:ascii="Times New Roman" w:hAnsi="Times New Roman"/>
          <w:sz w:val="24"/>
          <w:szCs w:val="24"/>
        </w:rPr>
        <w:t>Lisatulude märgatav juurdetulek ei ole mõeldav – kohalikud maksud, teenuste müük, varade müük;</w:t>
      </w:r>
    </w:p>
    <w:p w:rsidR="001479AF" w:rsidRDefault="00CC4571">
      <w:pPr>
        <w:pStyle w:val="ListParagraph"/>
        <w:numPr>
          <w:ilvl w:val="0"/>
          <w:numId w:val="7"/>
        </w:numPr>
        <w:jc w:val="both"/>
        <w:rPr>
          <w:rFonts w:ascii="Times New Roman" w:hAnsi="Times New Roman"/>
          <w:sz w:val="24"/>
          <w:szCs w:val="24"/>
        </w:rPr>
      </w:pPr>
      <w:r>
        <w:rPr>
          <w:rFonts w:ascii="Times New Roman" w:hAnsi="Times New Roman"/>
          <w:sz w:val="24"/>
          <w:szCs w:val="24"/>
        </w:rPr>
        <w:t>Linnal on hulgaliselt vara, selle ülalpidamine on kulukas ning varade uuendamiseks puuduvad eelarvelised vahendid;</w:t>
      </w:r>
    </w:p>
    <w:p w:rsidR="001479AF" w:rsidRDefault="00CC4571">
      <w:pPr>
        <w:pStyle w:val="ListParagraph"/>
        <w:numPr>
          <w:ilvl w:val="0"/>
          <w:numId w:val="7"/>
        </w:numPr>
        <w:jc w:val="both"/>
        <w:rPr>
          <w:rFonts w:ascii="Times New Roman" w:hAnsi="Times New Roman"/>
          <w:sz w:val="24"/>
          <w:szCs w:val="24"/>
        </w:rPr>
      </w:pPr>
      <w:r>
        <w:rPr>
          <w:rFonts w:ascii="Times New Roman" w:hAnsi="Times New Roman"/>
          <w:sz w:val="24"/>
          <w:szCs w:val="24"/>
        </w:rPr>
        <w:t>Väline palgasurve ja hindade tõus on viinud selleni, et asutuste eelarvete piirsummad pidurdavad asutuste arengut;</w:t>
      </w:r>
    </w:p>
    <w:p w:rsidR="001479AF" w:rsidRDefault="00CC4571">
      <w:pPr>
        <w:pStyle w:val="ListParagraph"/>
        <w:numPr>
          <w:ilvl w:val="0"/>
          <w:numId w:val="7"/>
        </w:numPr>
        <w:jc w:val="both"/>
        <w:rPr>
          <w:rFonts w:ascii="Times New Roman" w:hAnsi="Times New Roman"/>
          <w:sz w:val="24"/>
          <w:szCs w:val="24"/>
        </w:rPr>
      </w:pPr>
      <w:r>
        <w:rPr>
          <w:rFonts w:ascii="Times New Roman" w:hAnsi="Times New Roman"/>
          <w:sz w:val="24"/>
          <w:szCs w:val="24"/>
        </w:rPr>
        <w:t>Eelarvestrateegias on FIT kasvutrendiga, kuid seda saavutame ainult keskmise brutosissetuleku kasvuga. Kui juhtub must stsenaarium, mille korral töötajaid koondatakse või palgad seiskuvad, siis muid tuluallikaid, mis FIT kompenseeriksid ei ole. Maksumaksjate arvu kasv ei ole eriti reaalne, arvestades, et elanike arv Eestis pidevalt väheneb. Kindlasti aitaks riigipoolne tulubaasi parandamine, k</w:t>
      </w:r>
      <w:r w:rsidR="00CF0D87">
        <w:rPr>
          <w:rFonts w:ascii="Times New Roman" w:hAnsi="Times New Roman"/>
          <w:sz w:val="24"/>
          <w:szCs w:val="24"/>
        </w:rPr>
        <w:t>uid ka see ei ole eriti reaalne.</w:t>
      </w:r>
    </w:p>
    <w:sectPr w:rsidR="001479A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40" w:rsidRDefault="00C34C40">
      <w:pPr>
        <w:spacing w:after="0" w:line="240" w:lineRule="auto"/>
      </w:pPr>
      <w:r>
        <w:separator/>
      </w:r>
    </w:p>
  </w:endnote>
  <w:endnote w:type="continuationSeparator" w:id="0">
    <w:p w:rsidR="00C34C40" w:rsidRDefault="00C3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40" w:rsidRDefault="00C34C40">
      <w:pPr>
        <w:spacing w:after="0" w:line="240" w:lineRule="auto"/>
      </w:pPr>
      <w:r>
        <w:rPr>
          <w:color w:val="000000"/>
        </w:rPr>
        <w:separator/>
      </w:r>
    </w:p>
  </w:footnote>
  <w:footnote w:type="continuationSeparator" w:id="0">
    <w:p w:rsidR="00C34C40" w:rsidRDefault="00C34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98B"/>
    <w:multiLevelType w:val="hybridMultilevel"/>
    <w:tmpl w:val="5A9C6C3E"/>
    <w:lvl w:ilvl="0" w:tplc="0425000B">
      <w:start w:val="1"/>
      <w:numFmt w:val="bullet"/>
      <w:lvlText w:val=""/>
      <w:lvlJc w:val="left"/>
      <w:pPr>
        <w:ind w:left="1800" w:hanging="360"/>
      </w:pPr>
      <w:rPr>
        <w:rFonts w:ascii="Wingdings" w:hAnsi="Wingdings"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
    <w:nsid w:val="0CB5291B"/>
    <w:multiLevelType w:val="multilevel"/>
    <w:tmpl w:val="3B325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300B52"/>
    <w:multiLevelType w:val="multilevel"/>
    <w:tmpl w:val="CF50B1E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F794F41"/>
    <w:multiLevelType w:val="multilevel"/>
    <w:tmpl w:val="731C9D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nsid w:val="1DF33C8F"/>
    <w:multiLevelType w:val="multilevel"/>
    <w:tmpl w:val="D4789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12317A"/>
    <w:multiLevelType w:val="hybridMultilevel"/>
    <w:tmpl w:val="9C805C78"/>
    <w:lvl w:ilvl="0" w:tplc="0425000B">
      <w:start w:val="1"/>
      <w:numFmt w:val="bullet"/>
      <w:lvlText w:val=""/>
      <w:lvlJc w:val="left"/>
      <w:pPr>
        <w:ind w:left="2160" w:hanging="360"/>
      </w:pPr>
      <w:rPr>
        <w:rFonts w:ascii="Wingdings" w:hAnsi="Wingdings"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6">
    <w:nsid w:val="30E4460D"/>
    <w:multiLevelType w:val="multilevel"/>
    <w:tmpl w:val="27288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8B4D1B"/>
    <w:multiLevelType w:val="multilevel"/>
    <w:tmpl w:val="967CB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3876F2"/>
    <w:multiLevelType w:val="multilevel"/>
    <w:tmpl w:val="F3A8FD8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7"/>
  </w:num>
  <w:num w:numId="3">
    <w:abstractNumId w:val="1"/>
  </w:num>
  <w:num w:numId="4">
    <w:abstractNumId w:val="6"/>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479AF"/>
    <w:rsid w:val="000A7F53"/>
    <w:rsid w:val="000E3E7E"/>
    <w:rsid w:val="001412C2"/>
    <w:rsid w:val="001479AF"/>
    <w:rsid w:val="00162CAD"/>
    <w:rsid w:val="0017762E"/>
    <w:rsid w:val="001B5159"/>
    <w:rsid w:val="001C3632"/>
    <w:rsid w:val="001D7CA0"/>
    <w:rsid w:val="001E748C"/>
    <w:rsid w:val="00222BD5"/>
    <w:rsid w:val="002D2E32"/>
    <w:rsid w:val="003170D4"/>
    <w:rsid w:val="00370FE9"/>
    <w:rsid w:val="00397464"/>
    <w:rsid w:val="003D7523"/>
    <w:rsid w:val="003E2B7D"/>
    <w:rsid w:val="00435F7B"/>
    <w:rsid w:val="00467844"/>
    <w:rsid w:val="004F4267"/>
    <w:rsid w:val="0051325E"/>
    <w:rsid w:val="00514A26"/>
    <w:rsid w:val="00516ABB"/>
    <w:rsid w:val="00550A48"/>
    <w:rsid w:val="00554FAF"/>
    <w:rsid w:val="00604F18"/>
    <w:rsid w:val="006637B5"/>
    <w:rsid w:val="006842E6"/>
    <w:rsid w:val="006E1990"/>
    <w:rsid w:val="00714A90"/>
    <w:rsid w:val="00736659"/>
    <w:rsid w:val="007A76DE"/>
    <w:rsid w:val="007C2139"/>
    <w:rsid w:val="008076B5"/>
    <w:rsid w:val="00857FED"/>
    <w:rsid w:val="0087367C"/>
    <w:rsid w:val="00876CF1"/>
    <w:rsid w:val="008E7DC1"/>
    <w:rsid w:val="0091241C"/>
    <w:rsid w:val="00925EB4"/>
    <w:rsid w:val="00965963"/>
    <w:rsid w:val="00987C01"/>
    <w:rsid w:val="009D2FD1"/>
    <w:rsid w:val="00A35D8B"/>
    <w:rsid w:val="00A668DB"/>
    <w:rsid w:val="00AC516B"/>
    <w:rsid w:val="00B56512"/>
    <w:rsid w:val="00BF6DE0"/>
    <w:rsid w:val="00C34C40"/>
    <w:rsid w:val="00C66268"/>
    <w:rsid w:val="00C723E9"/>
    <w:rsid w:val="00C728FE"/>
    <w:rsid w:val="00C73698"/>
    <w:rsid w:val="00C95B4D"/>
    <w:rsid w:val="00CC4571"/>
    <w:rsid w:val="00CF0D87"/>
    <w:rsid w:val="00D02A17"/>
    <w:rsid w:val="00D802EE"/>
    <w:rsid w:val="00E2216F"/>
    <w:rsid w:val="00E61363"/>
    <w:rsid w:val="00E97166"/>
    <w:rsid w:val="00EB2878"/>
    <w:rsid w:val="00F25E30"/>
    <w:rsid w:val="00F321C2"/>
    <w:rsid w:val="00F75925"/>
    <w:rsid w:val="00F934FD"/>
    <w:rsid w:val="00FC4A67"/>
    <w:rsid w:val="00FD06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6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6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Maimu Kelder</dc:creator>
  <cp:lastModifiedBy>Tiia Vahter</cp:lastModifiedBy>
  <cp:revision>2</cp:revision>
  <cp:lastPrinted>2016-08-09T11:03:00Z</cp:lastPrinted>
  <dcterms:created xsi:type="dcterms:W3CDTF">2017-08-22T07:34:00Z</dcterms:created>
  <dcterms:modified xsi:type="dcterms:W3CDTF">2017-08-22T07:34:00Z</dcterms:modified>
</cp:coreProperties>
</file>